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F2" w:rsidRPr="00BB5FF2" w:rsidRDefault="00BB5FF2" w:rsidP="00BB5FF2">
      <w:pPr>
        <w:pStyle w:val="Ttulo"/>
        <w:spacing w:before="0" w:after="0" w:line="240" w:lineRule="auto"/>
        <w:ind w:right="-568"/>
        <w:rPr>
          <w:rFonts w:ascii="Arial Black" w:hAnsi="Arial Black" w:cs="Times New Roman"/>
          <w:sz w:val="24"/>
          <w:szCs w:val="24"/>
        </w:rPr>
      </w:pPr>
      <w:r w:rsidRPr="00BB5FF2">
        <w:rPr>
          <w:rFonts w:ascii="Arial Black" w:hAnsi="Arial Black" w:cs="Times New Roman"/>
          <w:sz w:val="24"/>
          <w:szCs w:val="24"/>
        </w:rPr>
        <w:t>MODELO DE PETIÇÃO</w:t>
      </w:r>
    </w:p>
    <w:p w:rsidR="00DE7D16" w:rsidRDefault="00347254" w:rsidP="00BB5FF2">
      <w:pPr>
        <w:pStyle w:val="Ttulo"/>
        <w:spacing w:before="0" w:after="0" w:line="240" w:lineRule="auto"/>
        <w:ind w:right="-568"/>
        <w:rPr>
          <w:rFonts w:ascii="Arial Black" w:hAnsi="Arial Black" w:cs="Times New Roman"/>
          <w:sz w:val="24"/>
          <w:szCs w:val="24"/>
        </w:rPr>
      </w:pPr>
      <w:r w:rsidRPr="00BB5FF2">
        <w:rPr>
          <w:rFonts w:ascii="Arial Black" w:hAnsi="Arial Black" w:cs="Times New Roman"/>
          <w:sz w:val="24"/>
          <w:szCs w:val="24"/>
        </w:rPr>
        <w:t xml:space="preserve">MORTE DE PRESO NA CADEIA. </w:t>
      </w:r>
    </w:p>
    <w:p w:rsidR="00347254" w:rsidRDefault="00347254" w:rsidP="00BB5FF2">
      <w:pPr>
        <w:pStyle w:val="Ttulo"/>
        <w:spacing w:before="0" w:after="0" w:line="240" w:lineRule="auto"/>
        <w:ind w:right="-568"/>
        <w:rPr>
          <w:rFonts w:ascii="Arial Black" w:hAnsi="Arial Black" w:cs="Times New Roman"/>
          <w:sz w:val="24"/>
          <w:szCs w:val="24"/>
        </w:rPr>
      </w:pPr>
      <w:r w:rsidRPr="00BB5FF2">
        <w:rPr>
          <w:rFonts w:ascii="Arial Black" w:hAnsi="Arial Black" w:cs="Times New Roman"/>
          <w:sz w:val="24"/>
          <w:szCs w:val="24"/>
        </w:rPr>
        <w:t>RESPONSABILIDADE OBJETIVA</w:t>
      </w:r>
      <w:r w:rsidR="006F0714" w:rsidRPr="00BB5FF2">
        <w:rPr>
          <w:rFonts w:ascii="Arial Black" w:hAnsi="Arial Black" w:cs="Times New Roman"/>
          <w:sz w:val="24"/>
          <w:szCs w:val="24"/>
        </w:rPr>
        <w:t xml:space="preserve"> DO ESTADO</w:t>
      </w:r>
      <w:r w:rsidRPr="00BB5FF2">
        <w:rPr>
          <w:rFonts w:ascii="Arial Black" w:hAnsi="Arial Black" w:cs="Times New Roman"/>
          <w:sz w:val="24"/>
          <w:szCs w:val="24"/>
        </w:rPr>
        <w:t>. INICIAL</w:t>
      </w:r>
    </w:p>
    <w:p w:rsidR="00FB0322" w:rsidRDefault="00FB0322" w:rsidP="00FB0322">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347254" w:rsidRPr="006E17A9" w:rsidRDefault="00347254" w:rsidP="00BB5FF2">
      <w:pPr>
        <w:pStyle w:val="Texto"/>
        <w:ind w:right="-568"/>
        <w:rPr>
          <w:rFonts w:ascii="Times New Roman" w:hAnsi="Times New Roman" w:cs="Times New Roman"/>
          <w:sz w:val="24"/>
          <w:szCs w:val="24"/>
        </w:rPr>
      </w:pPr>
      <w:bookmarkStart w:id="0" w:name="_GoBack"/>
      <w:bookmarkEnd w:id="0"/>
    </w:p>
    <w:p w:rsidR="005F2738" w:rsidRPr="00BB5FF2" w:rsidRDefault="00347254" w:rsidP="00BB5FF2">
      <w:pPr>
        <w:pStyle w:val="Texto"/>
        <w:ind w:right="-568"/>
        <w:rPr>
          <w:rFonts w:ascii="Times New Roman" w:hAnsi="Times New Roman" w:cs="Times New Roman"/>
          <w:caps/>
          <w:sz w:val="24"/>
          <w:szCs w:val="24"/>
          <w:u w:val="single" w:color="000000"/>
        </w:rPr>
      </w:pPr>
      <w:r w:rsidRPr="005F2738">
        <w:rPr>
          <w:rFonts w:ascii="Times New Roman" w:hAnsi="Times New Roman" w:cs="Times New Roman"/>
          <w:caps/>
          <w:sz w:val="24"/>
          <w:szCs w:val="24"/>
          <w:u w:val="single" w:color="000000"/>
        </w:rPr>
        <w:t>Comentários</w:t>
      </w:r>
    </w:p>
    <w:p w:rsidR="00347254" w:rsidRPr="006E17A9" w:rsidRDefault="00347254" w:rsidP="00BB5FF2">
      <w:pPr>
        <w:pStyle w:val="Comentrios"/>
        <w:ind w:left="0" w:right="-568"/>
        <w:rPr>
          <w:rFonts w:ascii="Times New Roman" w:hAnsi="Times New Roman" w:cs="Times New Roman"/>
          <w:sz w:val="24"/>
          <w:szCs w:val="24"/>
        </w:rPr>
      </w:pPr>
      <w:r w:rsidRPr="006E17A9">
        <w:rPr>
          <w:rFonts w:ascii="Times New Roman" w:hAnsi="Times New Roman" w:cs="Times New Roman"/>
          <w:sz w:val="24"/>
          <w:szCs w:val="24"/>
        </w:rPr>
        <w:t>- Vigora no direito pátrio a “</w:t>
      </w:r>
      <w:r w:rsidRPr="00347254">
        <w:rPr>
          <w:rFonts w:ascii="Times New Roman" w:hAnsi="Times New Roman" w:cs="Times New Roman"/>
          <w:i/>
          <w:sz w:val="24"/>
          <w:szCs w:val="24"/>
        </w:rPr>
        <w:t>teoria do risco administrativo</w:t>
      </w:r>
      <w:r w:rsidRPr="006E17A9">
        <w:rPr>
          <w:rFonts w:ascii="Times New Roman" w:hAnsi="Times New Roman" w:cs="Times New Roman"/>
          <w:sz w:val="24"/>
          <w:szCs w:val="24"/>
        </w:rPr>
        <w:t>”, que tem como pressuposto básico para ensejar a responsabilização do Estado a mera verificação do nexo causal entre a conduta da Administração Pública e o dano experimentado pelo administrado.</w:t>
      </w:r>
    </w:p>
    <w:p w:rsidR="00347254" w:rsidRPr="006E17A9" w:rsidRDefault="00347254" w:rsidP="00BB5FF2">
      <w:pPr>
        <w:pStyle w:val="Texto"/>
        <w:ind w:right="-568"/>
        <w:rPr>
          <w:rFonts w:ascii="Times New Roman" w:hAnsi="Times New Roman" w:cs="Times New Roman"/>
          <w:sz w:val="24"/>
          <w:szCs w:val="24"/>
        </w:rPr>
      </w:pPr>
    </w:p>
    <w:p w:rsidR="00063403" w:rsidRDefault="00063403" w:rsidP="00BB5FF2">
      <w:pPr>
        <w:pStyle w:val="Texto"/>
        <w:ind w:right="-568"/>
        <w:rPr>
          <w:rFonts w:ascii="Times New Roman" w:hAnsi="Times New Roman" w:cs="Times New Roman"/>
          <w:sz w:val="24"/>
          <w:szCs w:val="24"/>
        </w:rPr>
      </w:pPr>
      <w:r>
        <w:rPr>
          <w:rFonts w:ascii="Times New Roman" w:hAnsi="Times New Roman" w:cs="Times New Roman"/>
          <w:sz w:val="24"/>
          <w:szCs w:val="24"/>
        </w:rPr>
        <w:t>Exmo. Sr. Juiz de Direito da ... Vara Cível da  Comarca d</w:t>
      </w:r>
      <w:r w:rsidRPr="006E17A9">
        <w:rPr>
          <w:rFonts w:ascii="Times New Roman" w:hAnsi="Times New Roman" w:cs="Times New Roman"/>
          <w:sz w:val="24"/>
          <w:szCs w:val="24"/>
        </w:rPr>
        <w:t>e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5F2738" w:rsidP="00BB5FF2">
      <w:pPr>
        <w:pStyle w:val="Texto"/>
        <w:ind w:right="-568"/>
        <w:rPr>
          <w:rFonts w:ascii="Times New Roman" w:hAnsi="Times New Roman" w:cs="Times New Roman"/>
          <w:sz w:val="24"/>
          <w:szCs w:val="24"/>
        </w:rPr>
      </w:pPr>
      <w:r w:rsidRPr="00E6752E">
        <w:rPr>
          <w:rFonts w:ascii="Times New Roman" w:hAnsi="Times New Roman" w:cs="Times New Roman"/>
          <w:sz w:val="24"/>
          <w:szCs w:val="24"/>
        </w:rPr>
        <w:t>(</w:t>
      </w:r>
      <w:r w:rsidRPr="002603CA">
        <w:rPr>
          <w:rFonts w:ascii="Times New Roman" w:hAnsi="Times New Roman" w:cs="Times New Roman"/>
          <w:sz w:val="24"/>
          <w:szCs w:val="24"/>
        </w:rPr>
        <w:t>nome, qualificação</w:t>
      </w:r>
      <w:r>
        <w:rPr>
          <w:rFonts w:ascii="Times New Roman" w:hAnsi="Times New Roman" w:cs="Times New Roman"/>
          <w:sz w:val="24"/>
          <w:szCs w:val="24"/>
        </w:rPr>
        <w:t xml:space="preserve"> completa</w:t>
      </w:r>
      <w:r w:rsidRPr="002603CA">
        <w:rPr>
          <w:rFonts w:ascii="Times New Roman" w:hAnsi="Times New Roman" w:cs="Times New Roman"/>
          <w:sz w:val="24"/>
          <w:szCs w:val="24"/>
        </w:rPr>
        <w:t>,</w:t>
      </w:r>
      <w:r>
        <w:rPr>
          <w:rFonts w:ascii="Times New Roman" w:hAnsi="Times New Roman" w:cs="Times New Roman"/>
          <w:sz w:val="24"/>
          <w:szCs w:val="24"/>
        </w:rPr>
        <w:t xml:space="preserve"> endereço eletrônico, domicílio e</w:t>
      </w:r>
      <w:r w:rsidRPr="002603CA">
        <w:rPr>
          <w:rFonts w:ascii="Times New Roman" w:hAnsi="Times New Roman" w:cs="Times New Roman"/>
          <w:sz w:val="24"/>
          <w:szCs w:val="24"/>
        </w:rPr>
        <w:t xml:space="preserve"> residência)</w:t>
      </w:r>
      <w:r w:rsidRPr="002603CA">
        <w:rPr>
          <w:rFonts w:ascii="Times New Roman" w:hAnsi="Times New Roman" w:cs="Times New Roman"/>
          <w:sz w:val="24"/>
          <w:szCs w:val="24"/>
          <w:vertAlign w:val="superscript"/>
        </w:rPr>
        <w:footnoteReference w:id="1"/>
      </w:r>
      <w:r w:rsidR="00347254" w:rsidRPr="006E17A9">
        <w:rPr>
          <w:rFonts w:ascii="Times New Roman" w:hAnsi="Times New Roman" w:cs="Times New Roman"/>
          <w:sz w:val="24"/>
          <w:szCs w:val="24"/>
        </w:rPr>
        <w:t xml:space="preserve">, menor impúbere, representada por sua bisavó (nome, qualificação, endereço), por seu advogado </w:t>
      </w:r>
      <w:r w:rsidR="00347254" w:rsidRPr="006E17A9">
        <w:rPr>
          <w:rFonts w:ascii="Times New Roman" w:hAnsi="Times New Roman" w:cs="Times New Roman"/>
          <w:i/>
          <w:sz w:val="24"/>
          <w:szCs w:val="24"/>
        </w:rPr>
        <w:t xml:space="preserve">in fine </w:t>
      </w:r>
      <w:r w:rsidR="00347254" w:rsidRPr="006E17A9">
        <w:rPr>
          <w:rFonts w:ascii="Times New Roman" w:hAnsi="Times New Roman" w:cs="Times New Roman"/>
          <w:sz w:val="24"/>
          <w:szCs w:val="24"/>
        </w:rPr>
        <w:t xml:space="preserve">assinado, </w:t>
      </w:r>
      <w:r w:rsidR="00347254" w:rsidRPr="006E17A9">
        <w:rPr>
          <w:rFonts w:ascii="Times New Roman" w:hAnsi="Times New Roman" w:cs="Times New Roman"/>
          <w:i/>
          <w:sz w:val="24"/>
          <w:szCs w:val="24"/>
        </w:rPr>
        <w:t xml:space="preserve">ut </w:t>
      </w:r>
      <w:r w:rsidR="00347254" w:rsidRPr="006E17A9">
        <w:rPr>
          <w:rFonts w:ascii="Times New Roman" w:hAnsi="Times New Roman" w:cs="Times New Roman"/>
          <w:sz w:val="24"/>
          <w:szCs w:val="24"/>
        </w:rPr>
        <w:t xml:space="preserve">instrumento de procuração em anexo (doc. n.  ...), vem, respeitosamente, propor </w:t>
      </w:r>
      <w:r w:rsidR="00347254" w:rsidRPr="006E17A9">
        <w:rPr>
          <w:rFonts w:ascii="Times New Roman" w:hAnsi="Times New Roman" w:cs="Times New Roman"/>
          <w:bCs/>
          <w:sz w:val="24"/>
          <w:szCs w:val="24"/>
        </w:rPr>
        <w:t>AÇÃO DE INDENIZAÇÃO</w:t>
      </w:r>
      <w:r w:rsidR="00347254" w:rsidRPr="006E17A9">
        <w:rPr>
          <w:rFonts w:ascii="Times New Roman" w:hAnsi="Times New Roman" w:cs="Times New Roman"/>
          <w:sz w:val="24"/>
          <w:szCs w:val="24"/>
        </w:rPr>
        <w:t xml:space="preserve"> contra o ESTADO DE </w:t>
      </w:r>
      <w:r w:rsidR="00347254">
        <w:rPr>
          <w:rFonts w:ascii="Times New Roman" w:hAnsi="Times New Roman" w:cs="Times New Roman"/>
          <w:sz w:val="24"/>
          <w:szCs w:val="24"/>
        </w:rPr>
        <w:t>...</w:t>
      </w:r>
      <w:r w:rsidR="00347254" w:rsidRPr="006E17A9">
        <w:rPr>
          <w:rFonts w:ascii="Times New Roman" w:hAnsi="Times New Roman" w:cs="Times New Roman"/>
          <w:sz w:val="24"/>
          <w:szCs w:val="24"/>
        </w:rPr>
        <w:t>, representado na pessoa do Procurador-Geral do Estado, com sede administrativa no</w:t>
      </w:r>
      <w:r w:rsidR="00347254">
        <w:rPr>
          <w:rFonts w:ascii="Times New Roman" w:hAnsi="Times New Roman" w:cs="Times New Roman"/>
          <w:sz w:val="24"/>
          <w:szCs w:val="24"/>
        </w:rPr>
        <w:t xml:space="preserve"> ...</w:t>
      </w:r>
      <w:r w:rsidR="00347254" w:rsidRPr="006E17A9">
        <w:rPr>
          <w:rFonts w:ascii="Times New Roman" w:hAnsi="Times New Roman" w:cs="Times New Roman"/>
          <w:sz w:val="24"/>
          <w:szCs w:val="24"/>
        </w:rPr>
        <w:t xml:space="preserve">, pelas razões de fato e direito adiante articuladas: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 A requerente é filha de ..., o qual foi morto na cadeia pública de ...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pacing w:val="-2"/>
          <w:sz w:val="24"/>
          <w:szCs w:val="24"/>
        </w:rPr>
        <w:t>2. No dia ..., os detentos da cela denominada “X-2” começaram a discutir sendo que ... e um outro detento entraram em luta corporal porque não queriam que este outro detento continuasse naquela cela. O nominado detento foi encaminhado ao Hospital Pronto-Socorro, e, ...foi intimado a dar explicações ao delegado, quando teria alegado que todos detentos haviam participado da briga.</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 Ao retornar a cela iniciou-se outra discussão do falecido pai da autora com terceiro detento, eis que este não teria querido assumir a autoria do fato. Nesse instante um dos detentos da cela derrubou ...da mureta do banheiro, vindo este a bater a cabeça no chão, e, em continuação ao ato o mesmo detento começou a chutar o rosto da vítima, vindo ainda a subir na ventana do local, pulando lá de cima com um pé no rosto e outro no estômago da vítima, sendo que só parou quando viu que a vítima havia desmaiado e sua boca estava espumando.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 Como mostra o processo n. ...a vítima fora espancada até a morte, sendo levado logo em seguida para </w:t>
      </w:r>
      <w:r w:rsidR="005F2738">
        <w:rPr>
          <w:rFonts w:ascii="Times New Roman" w:hAnsi="Times New Roman" w:cs="Times New Roman"/>
          <w:sz w:val="24"/>
          <w:szCs w:val="24"/>
        </w:rPr>
        <w:t xml:space="preserve">o Hospital Pronto-Socorro, onde ficou constatado seu óbito na </w:t>
      </w:r>
      <w:r w:rsidRPr="006E17A9">
        <w:rPr>
          <w:rFonts w:ascii="Times New Roman" w:hAnsi="Times New Roman" w:cs="Times New Roman"/>
          <w:sz w:val="24"/>
          <w:szCs w:val="24"/>
        </w:rPr>
        <w:t>data de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 A cadeia pública tem que ser diuturnamente vigiada pelas pessoas que prestam serviço ao Estado, ou seja, o Estado tem o dever de zelar pelo bem-estar dos detentos, colocando policiais de prontidão para que não ocorra tumulto entre os presos, valendo-se de todos os meios necessários para que isso não ocorra. </w:t>
      </w:r>
    </w:p>
    <w:p w:rsidR="00347254" w:rsidRPr="006E17A9" w:rsidRDefault="00347254" w:rsidP="00BB5FF2">
      <w:pPr>
        <w:pStyle w:val="Noparagraphstyle"/>
        <w:suppressAutoHyphens/>
        <w:ind w:right="-568"/>
        <w:jc w:val="both"/>
      </w:pPr>
    </w:p>
    <w:p w:rsidR="00063403"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6. O artigo 186 do Código Civil diz: </w:t>
      </w:r>
    </w:p>
    <w:p w:rsidR="00063403" w:rsidRDefault="00063403"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Aquele que, por ação ou omissão voluntária, negligência ou imprudência, violar o direito e causar dando a outrem, ainda que exclusivamente moral, comete ato ilícito</w:t>
      </w:r>
      <w:r w:rsidRPr="006E17A9">
        <w:rPr>
          <w:rFonts w:ascii="Times New Roman" w:hAnsi="Times New Roman" w:cs="Times New Roman"/>
          <w:sz w:val="24"/>
          <w:szCs w:val="24"/>
        </w:rPr>
        <w:t xml:space="preserve">”. </w:t>
      </w:r>
    </w:p>
    <w:p w:rsidR="00347254" w:rsidRPr="006E17A9" w:rsidRDefault="00347254" w:rsidP="00BB5FF2">
      <w:pPr>
        <w:pStyle w:val="Noparagraphstyle"/>
        <w:suppressAutoHyphens/>
        <w:ind w:right="-568"/>
        <w:jc w:val="both"/>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 O Estado tem o dever de indenizar a família da vítima, eis que, os detentos estão sobre sua vigia, ficando nesse caso comprovado a culpa </w:t>
      </w:r>
      <w:r w:rsidRPr="006E17A9">
        <w:rPr>
          <w:rFonts w:ascii="Times New Roman" w:hAnsi="Times New Roman" w:cs="Times New Roman"/>
          <w:i/>
          <w:iCs/>
          <w:sz w:val="24"/>
          <w:szCs w:val="24"/>
        </w:rPr>
        <w:t>in vigilando</w:t>
      </w:r>
      <w:r w:rsidRPr="006E17A9">
        <w:rPr>
          <w:rFonts w:ascii="Times New Roman" w:hAnsi="Times New Roman" w:cs="Times New Roman"/>
          <w:sz w:val="24"/>
          <w:szCs w:val="24"/>
        </w:rPr>
        <w:t xml:space="preserve">.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 O Estado, por seus funcionários, tem o dever de impedir ocorrência dessa natureza, eis que a vida e segurança dos presos é sua obrigação.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9. O fato deveu-se a completa ausência de vigilância sobre os presos, evitando-se então brigas no local, dando-se causa ao resultado, daí a obrigação do Estado em reparar os danos.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10. “</w:t>
      </w:r>
      <w:r w:rsidRPr="00347254">
        <w:rPr>
          <w:rFonts w:ascii="Times New Roman" w:hAnsi="Times New Roman" w:cs="Times New Roman"/>
          <w:i/>
          <w:sz w:val="24"/>
          <w:szCs w:val="24"/>
        </w:rPr>
        <w:t xml:space="preserve">Cumpre observar, que a causa da morte é irrelevante para fins de responsabilidade civil do Estado, pois, pela teoria objetiva ou teoria do risco integral, acolhida hoje, sem reservar no Direito quer o preso tenha sido morto, quer tenha cometido suicídio espontaneamente ou motivado, a pessoa jurídica pública responde pela morte, no mínimo por culpa </w:t>
      </w:r>
      <w:r w:rsidRPr="00347254">
        <w:rPr>
          <w:rFonts w:ascii="Times New Roman" w:hAnsi="Times New Roman" w:cs="Times New Roman"/>
          <w:i/>
          <w:iCs/>
          <w:sz w:val="24"/>
          <w:szCs w:val="24"/>
        </w:rPr>
        <w:t>in vigilando</w:t>
      </w:r>
      <w:r w:rsidRPr="00347254">
        <w:rPr>
          <w:rFonts w:ascii="Times New Roman" w:hAnsi="Times New Roman" w:cs="Times New Roman"/>
          <w:i/>
          <w:sz w:val="24"/>
          <w:szCs w:val="24"/>
        </w:rPr>
        <w:t>, aplicando-se o artigo 37, XXVI, § 6º, d</w:t>
      </w:r>
      <w:r>
        <w:rPr>
          <w:rFonts w:ascii="Times New Roman" w:hAnsi="Times New Roman" w:cs="Times New Roman"/>
          <w:i/>
          <w:sz w:val="24"/>
          <w:szCs w:val="24"/>
        </w:rPr>
        <w:t>a CF/88</w:t>
      </w:r>
      <w:r w:rsidRPr="00347254">
        <w:rPr>
          <w:rFonts w:ascii="Times New Roman" w:hAnsi="Times New Roman" w:cs="Times New Roman"/>
          <w:i/>
          <w:sz w:val="24"/>
          <w:szCs w:val="24"/>
        </w:rPr>
        <w:t>”</w:t>
      </w:r>
      <w:r w:rsidRPr="006E17A9">
        <w:rPr>
          <w:rFonts w:ascii="Times New Roman" w:hAnsi="Times New Roman" w:cs="Times New Roman"/>
          <w:sz w:val="24"/>
          <w:szCs w:val="24"/>
        </w:rPr>
        <w:t xml:space="preserve"> (Danos e indenizações interpretados pelos tribunais, Wilson Bussada, vol. IV, p. 3075).</w:t>
      </w:r>
    </w:p>
    <w:p w:rsidR="00347254" w:rsidRPr="006E17A9" w:rsidRDefault="00347254" w:rsidP="00BB5FF2">
      <w:pPr>
        <w:pStyle w:val="Texto"/>
        <w:ind w:right="-568"/>
        <w:rPr>
          <w:rFonts w:ascii="Times New Roman" w:hAnsi="Times New Roman" w:cs="Times New Roman"/>
          <w:sz w:val="24"/>
          <w:szCs w:val="24"/>
        </w:rPr>
      </w:pPr>
    </w:p>
    <w:p w:rsidR="00063403"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11. Acrescente ainda o artigo 5º da CF/88, XLIX: </w:t>
      </w:r>
    </w:p>
    <w:p w:rsidR="00063403" w:rsidRDefault="00063403"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é assegurado aos presos o respeito à integridade física ou moral</w:t>
      </w:r>
      <w:r w:rsidRPr="006E17A9">
        <w:rPr>
          <w:rFonts w:ascii="Times New Roman" w:hAnsi="Times New Roman" w:cs="Times New Roman"/>
          <w:sz w:val="24"/>
          <w:szCs w:val="24"/>
        </w:rPr>
        <w:t xml:space="preserve">”.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12. A vítima do primeiro espancamento disse em declaração, que todos os elementos o espancaram, sendo que .... só bateu quando os detetives estavam chegando, sendo que foi levado ao delegado para dar satisfações. Chegando na cela, falou aos outros detentos que tinha dito ao delegado que todos estavam envolvidos no espancamento da primeira vítima, e então ... o empurrou da mureta do banheiro e começou a lhe espancar até a morte.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13. Isso mostra que a vítima ...foi morta por negligência do Estado, que deveria ter propiciado a segurança dos detentos, entre eles, a vítima. </w:t>
      </w:r>
    </w:p>
    <w:p w:rsidR="00347254" w:rsidRPr="006E17A9" w:rsidRDefault="00347254" w:rsidP="00BB5FF2">
      <w:pPr>
        <w:pStyle w:val="Texto"/>
        <w:ind w:right="-568"/>
        <w:rPr>
          <w:rFonts w:ascii="Times New Roman" w:hAnsi="Times New Roman" w:cs="Times New Roman"/>
          <w:sz w:val="24"/>
          <w:szCs w:val="24"/>
        </w:rPr>
      </w:pPr>
    </w:p>
    <w:p w:rsidR="00063403"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14. Provada a culpa do Estado, ou, enfim, por responsabilidade objetiva deste, resta estabelecer o </w:t>
      </w:r>
      <w:r w:rsidRPr="006E17A9">
        <w:rPr>
          <w:rFonts w:ascii="Times New Roman" w:hAnsi="Times New Roman" w:cs="Times New Roman"/>
          <w:i/>
          <w:iCs/>
          <w:sz w:val="24"/>
          <w:szCs w:val="24"/>
        </w:rPr>
        <w:t>quantum</w:t>
      </w:r>
      <w:r w:rsidRPr="006E17A9">
        <w:rPr>
          <w:rFonts w:ascii="Times New Roman" w:hAnsi="Times New Roman" w:cs="Times New Roman"/>
          <w:sz w:val="24"/>
          <w:szCs w:val="24"/>
        </w:rPr>
        <w:t xml:space="preserve"> indenizatório. A Súmula 490 do STF estabelece que: </w:t>
      </w:r>
    </w:p>
    <w:p w:rsidR="00063403" w:rsidRDefault="00063403"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A pensão correspondente à indenização oriunda de responsabilidade civil deve ser calculada com base no salário mínimo vigente ao tempo da sentença e ajustar-se-á às variações ulteriores</w:t>
      </w:r>
      <w:r w:rsidRPr="006E17A9">
        <w:rPr>
          <w:rFonts w:ascii="Times New Roman" w:hAnsi="Times New Roman" w:cs="Times New Roman"/>
          <w:sz w:val="24"/>
          <w:szCs w:val="24"/>
        </w:rPr>
        <w:t>”. Já a Súmula 491 do STF diz: “</w:t>
      </w:r>
      <w:r w:rsidRPr="006E17A9">
        <w:rPr>
          <w:rFonts w:ascii="Times New Roman" w:hAnsi="Times New Roman" w:cs="Times New Roman"/>
          <w:i/>
          <w:iCs/>
          <w:sz w:val="24"/>
          <w:szCs w:val="24"/>
        </w:rPr>
        <w:t>É indenizável o acidente que cause a morte de filho menor, ainda que não exerça trabalho remunerado</w:t>
      </w:r>
      <w:r w:rsidRPr="006E17A9">
        <w:rPr>
          <w:rFonts w:ascii="Times New Roman" w:hAnsi="Times New Roman" w:cs="Times New Roman"/>
          <w:sz w:val="24"/>
          <w:szCs w:val="24"/>
        </w:rPr>
        <w:t xml:space="preserve">”.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15. Sendo assim, tem as requerentes o direito a pensão equivalente não menos que um salário mínimo a partir da data do fato até a data em que a vítima completaria 65 anos de idade. Como a vítima nasceu no dia ...., o Estado irá se eximir da pensão em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16. Ainda, conforme o artigo 948, I e II</w:t>
      </w:r>
      <w:r w:rsidRPr="006E17A9">
        <w:rPr>
          <w:rFonts w:ascii="Times New Roman" w:hAnsi="Times New Roman" w:cs="Times New Roman"/>
          <w:sz w:val="24"/>
          <w:szCs w:val="24"/>
          <w:vertAlign w:val="superscript"/>
        </w:rPr>
        <w:footnoteReference w:id="2"/>
      </w:r>
      <w:r w:rsidRPr="006E17A9">
        <w:rPr>
          <w:rFonts w:ascii="Times New Roman" w:hAnsi="Times New Roman" w:cs="Times New Roman"/>
          <w:sz w:val="24"/>
          <w:szCs w:val="24"/>
        </w:rPr>
        <w:t xml:space="preserve">, do Código Civil, o requerido deverá indenizar o funeral e luto de família. </w:t>
      </w:r>
    </w:p>
    <w:p w:rsidR="00347254" w:rsidRPr="006E17A9" w:rsidRDefault="00347254" w:rsidP="00BB5FF2">
      <w:pPr>
        <w:pStyle w:val="Texto"/>
        <w:ind w:right="-568"/>
        <w:rPr>
          <w:rFonts w:ascii="Times New Roman" w:hAnsi="Times New Roman" w:cs="Times New Roman"/>
          <w:sz w:val="24"/>
          <w:szCs w:val="24"/>
        </w:rPr>
      </w:pPr>
    </w:p>
    <w:p w:rsidR="00063403"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17. A Súmula 37 do STJ estabelece que: </w:t>
      </w:r>
    </w:p>
    <w:p w:rsidR="00063403" w:rsidRDefault="00063403"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São cumuláveis as indenizações de dano material e dano moral oriundos do mesmo fato</w:t>
      </w:r>
      <w:r w:rsidRPr="006E17A9">
        <w:rPr>
          <w:rFonts w:ascii="Times New Roman" w:hAnsi="Times New Roman" w:cs="Times New Roman"/>
          <w:sz w:val="24"/>
          <w:szCs w:val="24"/>
        </w:rPr>
        <w:t>”</w:t>
      </w:r>
      <w:r>
        <w:rPr>
          <w:rFonts w:ascii="Times New Roman" w:hAnsi="Times New Roman" w:cs="Times New Roman"/>
          <w:sz w:val="24"/>
          <w:szCs w:val="24"/>
        </w:rPr>
        <w:t>.</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18. Sendo assim, a requerente tem direito a indenização moral, sendo que sofreu um grande abalo com a perda do pai, eis que vivia com ele e, tendo agora que ser sustentada por sua bisavó, a qual tem sua guarda por tempo indeterminado.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19. A requerente vem sentindo muita falta do pai, pois era muito apegada a ele e, quando soube de sua morte, teve crises nervosas, sendo que não conseguia parar de chorar ao se lembrar dele. A compensação material indenizatória é algo que se coloca na vida da pessoa ofendida, direta ou indiretamente, pelo evento, de modo a lhe proporcionar uma efetiva satisfação, sob pena de não representar uma justa indenização.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20. Aliás, independentemente da prova de dano moral, na hipótese tem-se ainda a incidência de dano moral puro. A ausência de um critério direito em lei e na jurisprudência para fixação do </w:t>
      </w:r>
      <w:r w:rsidRPr="006E17A9">
        <w:rPr>
          <w:rFonts w:ascii="Times New Roman" w:hAnsi="Times New Roman" w:cs="Times New Roman"/>
          <w:i/>
          <w:iCs/>
          <w:sz w:val="24"/>
          <w:szCs w:val="24"/>
        </w:rPr>
        <w:t>quantum</w:t>
      </w:r>
      <w:r w:rsidRPr="006E17A9">
        <w:rPr>
          <w:rFonts w:ascii="Times New Roman" w:hAnsi="Times New Roman" w:cs="Times New Roman"/>
          <w:sz w:val="24"/>
          <w:szCs w:val="24"/>
        </w:rPr>
        <w:t xml:space="preserve"> indenizatório não pode servir de óbice para a sua concessão e, principalmente, não pode servir a que se fixe um valor irrisório e acanhado, inferior a outros parâmetros análogos de previsão legislativa expressa.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21. Requer-se que a indenização relativa ao dano moral não seja inferior a R$ ... (...), pois não dever inferior ao montante do dano material. O qual, no total, será de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22. Inexiste previsão legal para a fixação do valor do dano moral, daí ter o juiz que recorrer a analogia, a equidade, aos princípios gerais de direito, para tanto, já que o juiz não pode se furtar ao julgamento apenas porque não há previsão legal de critério dessa fixação.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23. Assim, deverá o requerido indenizar o dano moral resultante da morte da vítima, dano esse que, além de público e notório, constitui dano moral puro, indenizável do mesmo modo, devendo, para tanto, ser obedecido um dos parâmetros antes apontados.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24. Deve o requerido, ainda, indenizar os gastos havidos pela requerente em virtude do funeral e luto de família que forem comprovados no processo em execução de sentença.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25. </w:t>
      </w:r>
      <w:r w:rsidRPr="006E17A9">
        <w:rPr>
          <w:rFonts w:ascii="Times New Roman" w:hAnsi="Times New Roman" w:cs="Times New Roman"/>
          <w:b/>
          <w:i/>
          <w:sz w:val="24"/>
          <w:szCs w:val="24"/>
        </w:rPr>
        <w:t>Ex positis</w:t>
      </w:r>
      <w:r w:rsidRPr="006E17A9">
        <w:rPr>
          <w:rFonts w:ascii="Times New Roman" w:hAnsi="Times New Roman" w:cs="Times New Roman"/>
          <w:sz w:val="24"/>
          <w:szCs w:val="24"/>
        </w:rPr>
        <w:t>, requer V. Exa.:</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a) a citação do requerido </w:t>
      </w:r>
      <w:r w:rsidRPr="006F0714">
        <w:rPr>
          <w:rFonts w:ascii="Times New Roman" w:hAnsi="Times New Roman" w:cs="Times New Roman"/>
          <w:sz w:val="24"/>
          <w:szCs w:val="24"/>
        </w:rPr>
        <w:t>supra</w:t>
      </w:r>
      <w:r w:rsidR="006F0714">
        <w:rPr>
          <w:rFonts w:ascii="Times New Roman" w:hAnsi="Times New Roman" w:cs="Times New Roman"/>
          <w:i/>
          <w:sz w:val="24"/>
          <w:szCs w:val="24"/>
        </w:rPr>
        <w:t xml:space="preserve"> </w:t>
      </w:r>
      <w:r w:rsidRPr="006E17A9">
        <w:rPr>
          <w:rFonts w:ascii="Times New Roman" w:hAnsi="Times New Roman" w:cs="Times New Roman"/>
          <w:sz w:val="24"/>
          <w:szCs w:val="24"/>
        </w:rPr>
        <w:t xml:space="preserve">qualificado </w:t>
      </w:r>
      <w:r w:rsidR="005F2738">
        <w:rPr>
          <w:rFonts w:ascii="Times New Roman" w:hAnsi="Times New Roman" w:cs="Times New Roman"/>
          <w:sz w:val="24"/>
          <w:szCs w:val="24"/>
        </w:rPr>
        <w:t xml:space="preserve">na pessoa </w:t>
      </w:r>
      <w:r w:rsidR="00542996">
        <w:rPr>
          <w:rFonts w:ascii="Times New Roman" w:hAnsi="Times New Roman" w:cs="Times New Roman"/>
          <w:sz w:val="24"/>
          <w:szCs w:val="24"/>
        </w:rPr>
        <w:t>do</w:t>
      </w:r>
      <w:r w:rsidR="005F2738">
        <w:rPr>
          <w:rFonts w:ascii="Times New Roman" w:hAnsi="Times New Roman" w:cs="Times New Roman"/>
          <w:sz w:val="24"/>
          <w:szCs w:val="24"/>
        </w:rPr>
        <w:t xml:space="preserve"> </w:t>
      </w:r>
      <w:r w:rsidR="00542996" w:rsidRPr="006E17A9">
        <w:rPr>
          <w:rFonts w:ascii="Times New Roman" w:hAnsi="Times New Roman" w:cs="Times New Roman"/>
          <w:sz w:val="24"/>
          <w:szCs w:val="24"/>
        </w:rPr>
        <w:t>Procurador-Geral do Estado</w:t>
      </w:r>
      <w:r w:rsidR="005F2738">
        <w:rPr>
          <w:rFonts w:ascii="Times New Roman" w:hAnsi="Times New Roman" w:cs="Times New Roman"/>
          <w:sz w:val="24"/>
          <w:szCs w:val="24"/>
        </w:rPr>
        <w:t xml:space="preserve"> </w:t>
      </w:r>
      <w:r w:rsidRPr="006E17A9">
        <w:rPr>
          <w:rFonts w:ascii="Times New Roman" w:hAnsi="Times New Roman" w:cs="Times New Roman"/>
          <w:sz w:val="24"/>
          <w:szCs w:val="24"/>
        </w:rPr>
        <w:t xml:space="preserve">para, querendo, oferecer defesa no prazo legal, sob pena de revelia e confissão quanto à matéria de fato, e, ao final, seja a ação julgada procedente para condenar o requerido a pagar aos requerentes, a título de reparação dos danos materiais e morais, tudo na forma e somas pedida no corpo da inicial, ou, enfim, por eventualidade, como for arbitrado, acrescidas de juros compostos e correção monetária desde o evento, com a condenação, ainda no pagamento das despesas efetuadas, passadas e futuras, devidamente atualizadas desde o desembolso até o </w:t>
      </w:r>
      <w:r w:rsidRPr="006E17A9">
        <w:rPr>
          <w:rFonts w:ascii="Times New Roman" w:hAnsi="Times New Roman" w:cs="Times New Roman"/>
          <w:sz w:val="24"/>
          <w:szCs w:val="24"/>
        </w:rPr>
        <w:lastRenderedPageBreak/>
        <w:t xml:space="preserve">efeito pagamento, sempre acrescidas de juros compostos, condenando, por fim, ao pagamento dos honorários advocatícios na base de 20% (vinte por cento) sobre o montante da liquidação e demais efeitos de sucumbência; </w:t>
      </w:r>
    </w:p>
    <w:p w:rsidR="00347254" w:rsidRPr="006E17A9" w:rsidRDefault="00347254" w:rsidP="00BB5FF2">
      <w:pPr>
        <w:pStyle w:val="Texto"/>
        <w:ind w:right="-568"/>
        <w:rPr>
          <w:rFonts w:ascii="Times New Roman" w:hAnsi="Times New Roman" w:cs="Times New Roman"/>
          <w:sz w:val="24"/>
          <w:szCs w:val="24"/>
        </w:rPr>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b) a produção de provas documental, testemunhal, pericial, e, especialmente, o depoimento pessoal do representante lega</w:t>
      </w:r>
      <w:r w:rsidR="00542996">
        <w:rPr>
          <w:rFonts w:ascii="Times New Roman" w:hAnsi="Times New Roman" w:cs="Times New Roman"/>
          <w:sz w:val="24"/>
          <w:szCs w:val="24"/>
        </w:rPr>
        <w:t>l do réu, sob pena de confissão;</w:t>
      </w:r>
    </w:p>
    <w:p w:rsidR="00347254" w:rsidRPr="006E17A9" w:rsidRDefault="00347254" w:rsidP="00BB5FF2">
      <w:pPr>
        <w:pStyle w:val="Texto"/>
        <w:ind w:right="-568"/>
        <w:rPr>
          <w:rFonts w:ascii="Times New Roman" w:hAnsi="Times New Roman" w:cs="Times New Roman"/>
          <w:sz w:val="24"/>
          <w:szCs w:val="24"/>
        </w:rPr>
      </w:pPr>
    </w:p>
    <w:p w:rsidR="00347254" w:rsidRDefault="00347254" w:rsidP="00BB5FF2">
      <w:pPr>
        <w:pStyle w:val="Texto"/>
        <w:ind w:right="-568"/>
        <w:rPr>
          <w:rFonts w:ascii="Times New Roman" w:eastAsia="Calibri" w:hAnsi="Times New Roman" w:cs="Times New Roman"/>
          <w:color w:val="auto"/>
          <w:sz w:val="24"/>
          <w:szCs w:val="24"/>
          <w:lang w:eastAsia="en-US"/>
        </w:rPr>
      </w:pPr>
      <w:r w:rsidRPr="006E17A9">
        <w:rPr>
          <w:rFonts w:ascii="Times New Roman" w:hAnsi="Times New Roman" w:cs="Times New Roman"/>
          <w:sz w:val="24"/>
          <w:szCs w:val="24"/>
        </w:rPr>
        <w:t xml:space="preserve">c) </w:t>
      </w:r>
      <w:r w:rsidR="00542996" w:rsidRPr="00A265E0">
        <w:rPr>
          <w:rFonts w:ascii="Times New Roman" w:eastAsia="Calibri" w:hAnsi="Times New Roman" w:cs="Times New Roman"/>
          <w:color w:val="auto"/>
          <w:sz w:val="24"/>
          <w:szCs w:val="24"/>
          <w:lang w:eastAsia="en-US"/>
        </w:rPr>
        <w:t>seja-lhe deferido a assistência judiciária, nos termos do</w:t>
      </w:r>
      <w:r w:rsidR="00542996">
        <w:rPr>
          <w:rFonts w:ascii="Times New Roman" w:eastAsia="Calibri" w:hAnsi="Times New Roman" w:cs="Times New Roman"/>
          <w:color w:val="auto"/>
          <w:sz w:val="24"/>
          <w:szCs w:val="24"/>
          <w:lang w:eastAsia="en-US"/>
        </w:rPr>
        <w:t>s</w:t>
      </w:r>
      <w:r w:rsidR="00542996" w:rsidRPr="00A265E0">
        <w:rPr>
          <w:rFonts w:ascii="Times New Roman" w:eastAsia="Calibri" w:hAnsi="Times New Roman" w:cs="Times New Roman"/>
          <w:color w:val="auto"/>
          <w:sz w:val="24"/>
          <w:szCs w:val="24"/>
          <w:lang w:eastAsia="en-US"/>
        </w:rPr>
        <w:t xml:space="preserve"> art</w:t>
      </w:r>
      <w:r w:rsidR="00542996">
        <w:rPr>
          <w:rFonts w:ascii="Times New Roman" w:eastAsia="Calibri" w:hAnsi="Times New Roman" w:cs="Times New Roman"/>
          <w:color w:val="auto"/>
          <w:sz w:val="24"/>
          <w:szCs w:val="24"/>
          <w:lang w:eastAsia="en-US"/>
        </w:rPr>
        <w:t>igos</w:t>
      </w:r>
      <w:r w:rsidR="00542996" w:rsidRPr="00A265E0">
        <w:rPr>
          <w:rFonts w:ascii="Times New Roman" w:eastAsia="Calibri" w:hAnsi="Times New Roman" w:cs="Times New Roman"/>
          <w:color w:val="auto"/>
          <w:sz w:val="24"/>
          <w:szCs w:val="24"/>
          <w:lang w:eastAsia="en-US"/>
        </w:rPr>
        <w:t xml:space="preserve"> 98 </w:t>
      </w:r>
      <w:r w:rsidR="00542996" w:rsidRPr="00A265E0">
        <w:rPr>
          <w:rFonts w:ascii="Times New Roman" w:eastAsia="Calibri" w:hAnsi="Times New Roman" w:cs="Times New Roman"/>
          <w:i/>
          <w:color w:val="auto"/>
          <w:sz w:val="24"/>
          <w:szCs w:val="24"/>
          <w:lang w:eastAsia="en-US"/>
        </w:rPr>
        <w:t>caput</w:t>
      </w:r>
      <w:r w:rsidR="00542996" w:rsidRPr="00A265E0">
        <w:rPr>
          <w:rFonts w:ascii="Times New Roman" w:eastAsia="Calibri" w:hAnsi="Times New Roman" w:cs="Times New Roman"/>
          <w:color w:val="auto"/>
          <w:sz w:val="24"/>
          <w:szCs w:val="24"/>
          <w:lang w:eastAsia="en-US"/>
        </w:rPr>
        <w:t xml:space="preserve"> e 99, §3º do Código de Processo Civil</w:t>
      </w:r>
      <w:r w:rsidR="00542996" w:rsidRPr="00A265E0">
        <w:rPr>
          <w:rFonts w:ascii="Times New Roman" w:eastAsia="Calibri" w:hAnsi="Times New Roman" w:cs="Times New Roman"/>
          <w:color w:val="auto"/>
          <w:sz w:val="24"/>
          <w:vertAlign w:val="superscript"/>
          <w:lang w:eastAsia="en-US"/>
        </w:rPr>
        <w:footnoteReference w:id="3"/>
      </w:r>
      <w:r w:rsidR="00542996" w:rsidRPr="00A265E0">
        <w:rPr>
          <w:rFonts w:ascii="Times New Roman" w:eastAsia="Calibri" w:hAnsi="Times New Roman" w:cs="Times New Roman"/>
          <w:color w:val="auto"/>
          <w:sz w:val="24"/>
          <w:szCs w:val="24"/>
          <w:lang w:eastAsia="en-US"/>
        </w:rPr>
        <w:t>, por não ter condições de arcar com as custas e despesas processuais, confo</w:t>
      </w:r>
      <w:r w:rsidR="00542996">
        <w:rPr>
          <w:rFonts w:ascii="Times New Roman" w:eastAsia="Calibri" w:hAnsi="Times New Roman" w:cs="Times New Roman"/>
          <w:color w:val="auto"/>
          <w:sz w:val="24"/>
          <w:szCs w:val="24"/>
          <w:lang w:eastAsia="en-US"/>
        </w:rPr>
        <w:t xml:space="preserve">rme declaração de insuficiência e documentos </w:t>
      </w:r>
      <w:r w:rsidR="00542996" w:rsidRPr="00A265E0">
        <w:rPr>
          <w:rFonts w:ascii="Times New Roman" w:eastAsia="Calibri" w:hAnsi="Times New Roman" w:cs="Times New Roman"/>
          <w:color w:val="auto"/>
          <w:sz w:val="24"/>
          <w:szCs w:val="24"/>
          <w:lang w:eastAsia="en-US"/>
        </w:rPr>
        <w:t>ora</w:t>
      </w:r>
      <w:r w:rsidR="00542996">
        <w:rPr>
          <w:rFonts w:ascii="Times New Roman" w:eastAsia="Calibri" w:hAnsi="Times New Roman" w:cs="Times New Roman"/>
          <w:color w:val="auto"/>
          <w:sz w:val="24"/>
          <w:szCs w:val="24"/>
          <w:lang w:eastAsia="en-US"/>
        </w:rPr>
        <w:t xml:space="preserve"> anexados</w:t>
      </w:r>
      <w:r w:rsidR="00542996" w:rsidRPr="00A265E0">
        <w:rPr>
          <w:rFonts w:ascii="Times New Roman" w:eastAsia="Calibri" w:hAnsi="Times New Roman" w:cs="Times New Roman"/>
          <w:color w:val="auto"/>
          <w:sz w:val="24"/>
          <w:szCs w:val="24"/>
          <w:lang w:eastAsia="en-US"/>
        </w:rPr>
        <w:t xml:space="preserve"> (doc. n. ...);</w:t>
      </w:r>
    </w:p>
    <w:p w:rsidR="00542996" w:rsidRPr="002D4E1A" w:rsidRDefault="00542996" w:rsidP="00BB5FF2">
      <w:pPr>
        <w:autoSpaceDE w:val="0"/>
        <w:autoSpaceDN w:val="0"/>
        <w:adjustRightInd w:val="0"/>
        <w:spacing w:line="250" w:lineRule="atLeast"/>
        <w:ind w:right="-568"/>
        <w:textAlignment w:val="center"/>
        <w:rPr>
          <w:color w:val="000000"/>
        </w:rPr>
      </w:pPr>
      <w:r w:rsidRPr="00542996">
        <w:rPr>
          <w:color w:val="000000"/>
        </w:rPr>
        <w:t>d)</w:t>
      </w:r>
      <w:r w:rsidRPr="002D4E1A">
        <w:rPr>
          <w:color w:val="000000"/>
        </w:rPr>
        <w:t xml:space="preserve"> a intimação do signatário para as vindouras publicações.</w:t>
      </w:r>
    </w:p>
    <w:p w:rsidR="00542996" w:rsidRPr="006E17A9" w:rsidRDefault="00542996" w:rsidP="00BB5FF2">
      <w:pPr>
        <w:pStyle w:val="Texto"/>
        <w:ind w:right="-568"/>
      </w:pPr>
    </w:p>
    <w:p w:rsidR="00347254" w:rsidRPr="006E17A9" w:rsidRDefault="00347254" w:rsidP="00BB5FF2">
      <w:pPr>
        <w:pStyle w:val="Texto"/>
        <w:ind w:right="-568"/>
        <w:rPr>
          <w:rFonts w:ascii="Times New Roman" w:hAnsi="Times New Roman" w:cs="Times New Roman"/>
          <w:sz w:val="24"/>
          <w:szCs w:val="24"/>
        </w:rPr>
      </w:pPr>
      <w:r w:rsidRPr="006E17A9">
        <w:rPr>
          <w:rFonts w:ascii="Times New Roman" w:hAnsi="Times New Roman" w:cs="Times New Roman"/>
          <w:sz w:val="24"/>
          <w:szCs w:val="24"/>
        </w:rPr>
        <w:t>Valor da causa: R$ ... (...)</w:t>
      </w:r>
    </w:p>
    <w:p w:rsidR="00347254" w:rsidRPr="006E17A9" w:rsidRDefault="00347254" w:rsidP="00BB5FF2">
      <w:pPr>
        <w:pStyle w:val="Centralizado"/>
        <w:ind w:right="-568"/>
        <w:rPr>
          <w:rFonts w:ascii="Times New Roman" w:hAnsi="Times New Roman" w:cs="Times New Roman"/>
          <w:sz w:val="24"/>
          <w:szCs w:val="24"/>
        </w:rPr>
      </w:pPr>
    </w:p>
    <w:p w:rsidR="00347254" w:rsidRPr="006E17A9" w:rsidRDefault="00347254" w:rsidP="00BB5FF2">
      <w:pPr>
        <w:ind w:right="-568"/>
        <w:jc w:val="center"/>
      </w:pPr>
      <w:r w:rsidRPr="006E17A9">
        <w:t>P. Deferimento.</w:t>
      </w:r>
    </w:p>
    <w:p w:rsidR="00347254" w:rsidRPr="006E17A9" w:rsidRDefault="00347254" w:rsidP="00BB5FF2">
      <w:pPr>
        <w:ind w:right="-568"/>
        <w:jc w:val="center"/>
      </w:pPr>
      <w:r w:rsidRPr="006E17A9">
        <w:t>(Local e data)</w:t>
      </w:r>
    </w:p>
    <w:p w:rsidR="00347254" w:rsidRPr="006E17A9" w:rsidRDefault="00347254" w:rsidP="00BB5FF2">
      <w:pPr>
        <w:ind w:right="-568"/>
        <w:jc w:val="center"/>
      </w:pPr>
      <w:r w:rsidRPr="006E17A9">
        <w:t>(Assinatura e OAB do Advogado)</w:t>
      </w:r>
    </w:p>
    <w:p w:rsidR="009F5315" w:rsidRDefault="009F5315" w:rsidP="00BB5FF2">
      <w:pPr>
        <w:ind w:right="-568"/>
      </w:pPr>
    </w:p>
    <w:sectPr w:rsidR="009F5315" w:rsidSect="007938E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DA8" w:rsidRDefault="00F14DA8" w:rsidP="00347254">
      <w:r>
        <w:separator/>
      </w:r>
    </w:p>
  </w:endnote>
  <w:endnote w:type="continuationSeparator" w:id="0">
    <w:p w:rsidR="00F14DA8" w:rsidRDefault="00F14DA8" w:rsidP="00347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DA8" w:rsidRDefault="00F14DA8" w:rsidP="00347254">
      <w:r>
        <w:separator/>
      </w:r>
    </w:p>
  </w:footnote>
  <w:footnote w:type="continuationSeparator" w:id="0">
    <w:p w:rsidR="00F14DA8" w:rsidRDefault="00F14DA8" w:rsidP="00347254">
      <w:r>
        <w:continuationSeparator/>
      </w:r>
    </w:p>
  </w:footnote>
  <w:footnote w:id="1">
    <w:p w:rsidR="005F2738" w:rsidRPr="002603CA" w:rsidRDefault="005F2738" w:rsidP="00BB5FF2">
      <w:pPr>
        <w:pStyle w:val="Textodenotaderodap"/>
        <w:spacing w:after="0" w:line="240" w:lineRule="auto"/>
        <w:ind w:right="-568"/>
        <w:jc w:val="both"/>
        <w:rPr>
          <w:rFonts w:ascii="Times New Roman" w:hAnsi="Times New Roman"/>
        </w:rPr>
      </w:pPr>
      <w:r w:rsidRPr="002603CA">
        <w:rPr>
          <w:rStyle w:val="Refdenotaderodap"/>
          <w:rFonts w:ascii="Times New Roman" w:hAnsi="Times New Roman"/>
        </w:rPr>
        <w:footnoteRef/>
      </w:r>
      <w:r w:rsidRPr="002603CA">
        <w:rPr>
          <w:rFonts w:ascii="Times New Roman" w:hAnsi="Times New Roman"/>
        </w:rPr>
        <w:t xml:space="preserve"> A qualificação do autor na inicial é regida pelo art. 319 do CPC. A individualização das partes é necessária para bem identificar o sujeito que almeja a prestação jurisdicional. Todavia, se não for possível a qualificação completa na forma legal, suficiente serão os dados fornecidos que tenham o condão de identificar o indivíduo. A propósito, </w:t>
      </w:r>
      <w:r w:rsidRPr="002603CA">
        <w:rPr>
          <w:rFonts w:ascii="Times New Roman" w:hAnsi="Times New Roman"/>
          <w:i/>
        </w:rPr>
        <w:t>residência</w:t>
      </w:r>
      <w:r w:rsidRPr="002603CA">
        <w:rPr>
          <w:rFonts w:ascii="Times New Roman" w:hAnsi="Times New Roman"/>
        </w:rPr>
        <w:t xml:space="preserve"> é o local onde a pessoa mora com o intuito permanente, que pode coincidir com o domicílio legal. Diferente das moradas provisórias, como os casos de hotéis ou aquelas temporadas de um amigo ou um parente. Exigi-se o intuito de permanência. Já o </w:t>
      </w:r>
      <w:r w:rsidRPr="002603CA">
        <w:rPr>
          <w:rFonts w:ascii="Times New Roman" w:hAnsi="Times New Roman"/>
          <w:i/>
        </w:rPr>
        <w:t>domicílio</w:t>
      </w:r>
      <w:r w:rsidRPr="002603CA">
        <w:rPr>
          <w:rFonts w:ascii="Times New Roman" w:hAnsi="Times New Roman"/>
        </w:rPr>
        <w:t xml:space="preserve">, conforme a definição dos arts. 70 </w:t>
      </w:r>
      <w:r w:rsidRPr="002603CA">
        <w:rPr>
          <w:rFonts w:ascii="Times New Roman" w:hAnsi="Times New Roman"/>
          <w:i/>
        </w:rPr>
        <w:t xml:space="preserve">usque </w:t>
      </w:r>
      <w:r w:rsidRPr="002603CA">
        <w:rPr>
          <w:rFonts w:ascii="Times New Roman" w:hAnsi="Times New Roman"/>
        </w:rPr>
        <w:t xml:space="preserve">78, para pessoas físicas ou jurídicas, é conceituado como o local onde a pessoa estabelece sua residência definitiva, ou local onde exerce suas atividades profissionais. Uma pessoa pode ter vários domicílios. </w:t>
      </w:r>
    </w:p>
  </w:footnote>
  <w:footnote w:id="2">
    <w:p w:rsidR="00347254" w:rsidRPr="006E17A9" w:rsidRDefault="00347254" w:rsidP="00BB5FF2">
      <w:pPr>
        <w:pStyle w:val="Rodap"/>
        <w:tabs>
          <w:tab w:val="clear" w:pos="8504"/>
          <w:tab w:val="right" w:pos="9356"/>
        </w:tabs>
        <w:ind w:right="-568"/>
        <w:jc w:val="both"/>
        <w:rPr>
          <w:sz w:val="20"/>
          <w:szCs w:val="20"/>
        </w:rPr>
      </w:pPr>
      <w:r w:rsidRPr="006E17A9">
        <w:rPr>
          <w:sz w:val="20"/>
          <w:szCs w:val="20"/>
          <w:vertAlign w:val="superscript"/>
        </w:rPr>
        <w:footnoteRef/>
      </w:r>
      <w:r w:rsidRPr="006E17A9">
        <w:rPr>
          <w:sz w:val="20"/>
          <w:szCs w:val="20"/>
        </w:rPr>
        <w:tab/>
      </w:r>
      <w:r w:rsidRPr="006E17A9">
        <w:rPr>
          <w:b/>
          <w:bCs/>
          <w:sz w:val="20"/>
          <w:szCs w:val="20"/>
        </w:rPr>
        <w:t>Art. 948.</w:t>
      </w:r>
      <w:r w:rsidRPr="006E17A9">
        <w:rPr>
          <w:sz w:val="20"/>
          <w:szCs w:val="20"/>
        </w:rPr>
        <w:t xml:space="preserve"> No caso de homicídio, a indenização consiste, sem excluir outras reparações: </w:t>
      </w:r>
      <w:r w:rsidRPr="006E17A9">
        <w:rPr>
          <w:b/>
          <w:sz w:val="20"/>
          <w:szCs w:val="20"/>
        </w:rPr>
        <w:t>I –</w:t>
      </w:r>
      <w:r w:rsidRPr="006E17A9">
        <w:rPr>
          <w:sz w:val="20"/>
          <w:szCs w:val="20"/>
        </w:rPr>
        <w:t xml:space="preserve"> no pagamento das despesas com o tratamento da vítima, seu funeral e o luto da família; </w:t>
      </w:r>
      <w:r w:rsidRPr="006E17A9">
        <w:rPr>
          <w:b/>
          <w:sz w:val="20"/>
          <w:szCs w:val="20"/>
        </w:rPr>
        <w:t>II –</w:t>
      </w:r>
      <w:r w:rsidRPr="006E17A9">
        <w:rPr>
          <w:sz w:val="20"/>
          <w:szCs w:val="20"/>
        </w:rPr>
        <w:t xml:space="preserve"> na prestação de alimentos às pessoas a quem o morto os devia, levando-se em conta a duração provável da vida da vítima.</w:t>
      </w:r>
    </w:p>
    <w:p w:rsidR="00347254" w:rsidRPr="006E17A9" w:rsidRDefault="00347254" w:rsidP="00BB5FF2">
      <w:pPr>
        <w:pStyle w:val="Rodap"/>
        <w:tabs>
          <w:tab w:val="clear" w:pos="8504"/>
          <w:tab w:val="right" w:pos="9356"/>
        </w:tabs>
        <w:ind w:right="-568"/>
        <w:jc w:val="both"/>
        <w:rPr>
          <w:sz w:val="20"/>
          <w:szCs w:val="20"/>
        </w:rPr>
      </w:pPr>
    </w:p>
  </w:footnote>
  <w:footnote w:id="3">
    <w:p w:rsidR="00542996" w:rsidRPr="00E576A6" w:rsidRDefault="00542996" w:rsidP="00BB5FF2">
      <w:pPr>
        <w:pStyle w:val="Textodenotaderodap"/>
        <w:spacing w:after="0" w:line="240" w:lineRule="auto"/>
        <w:ind w:right="-568"/>
        <w:jc w:val="both"/>
        <w:rPr>
          <w:rFonts w:ascii="Times New Roman" w:hAnsi="Times New Roman"/>
        </w:rPr>
      </w:pPr>
      <w:r w:rsidRPr="00E576A6">
        <w:rPr>
          <w:rStyle w:val="Refdenotaderodap"/>
          <w:rFonts w:ascii="Times New Roman" w:hAnsi="Times New Roman"/>
        </w:rPr>
        <w:footnoteRef/>
      </w:r>
      <w:r w:rsidRPr="00E576A6">
        <w:rPr>
          <w:rFonts w:ascii="Times New Roman" w:hAnsi="Times New Roman"/>
        </w:rPr>
        <w:t xml:space="preserve"> </w:t>
      </w:r>
      <w:r w:rsidRPr="00E576A6">
        <w:rPr>
          <w:rFonts w:ascii="Times New Roman" w:hAnsi="Times New Roman"/>
          <w:b/>
        </w:rPr>
        <w:t>Art. 98.</w:t>
      </w:r>
      <w:r w:rsidRPr="00E576A6">
        <w:rPr>
          <w:rFonts w:ascii="Times New Roman" w:hAnsi="Times New Roman"/>
        </w:rPr>
        <w:t xml:space="preserve">  A pessoa natural ou jurídica, brasileira ou estrangeira, com insuficiência de recursos para pagar as custas, as despesas processuais e os honorários advocatícios tem direito à gratuidade da justiça, na forma da lei.</w:t>
      </w:r>
    </w:p>
    <w:p w:rsidR="00542996" w:rsidRPr="0011143C" w:rsidRDefault="00542996" w:rsidP="00BB5FF2">
      <w:pPr>
        <w:pStyle w:val="Textodenotaderodap"/>
        <w:spacing w:after="0" w:line="240" w:lineRule="auto"/>
        <w:ind w:right="-568"/>
        <w:jc w:val="both"/>
      </w:pPr>
      <w:r w:rsidRPr="00E576A6">
        <w:rPr>
          <w:rFonts w:ascii="Times New Roman" w:hAnsi="Times New Roman"/>
          <w:b/>
        </w:rPr>
        <w:t>Art. 99</w:t>
      </w:r>
      <w:r w:rsidRPr="00E576A6">
        <w:rPr>
          <w:rFonts w:ascii="Times New Roman" w:hAnsi="Times New Roman"/>
        </w:rPr>
        <w:t xml:space="preserve">.  O pedido de gratuidade da justiça pode ser formulado na petição inicial, na contestação, na petição para ingresso de terceiro no processo ou em recurso. (...) </w:t>
      </w:r>
      <w:r w:rsidRPr="00E576A6">
        <w:rPr>
          <w:rFonts w:ascii="Times New Roman" w:hAnsi="Times New Roman"/>
          <w:b/>
        </w:rPr>
        <w:t>§ 3º</w:t>
      </w:r>
      <w:r w:rsidRPr="00E576A6">
        <w:rPr>
          <w:rFonts w:ascii="Times New Roman" w:hAnsi="Times New Roman"/>
        </w:rPr>
        <w:t xml:space="preserve"> Presume-se verdadeira a alegação de insuficiência deduzida exclusivamente por pessoa natural.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47254"/>
    <w:rsid w:val="00063403"/>
    <w:rsid w:val="000C4BE5"/>
    <w:rsid w:val="002F1FAC"/>
    <w:rsid w:val="00347254"/>
    <w:rsid w:val="00362808"/>
    <w:rsid w:val="0039531D"/>
    <w:rsid w:val="00487BCE"/>
    <w:rsid w:val="0050644E"/>
    <w:rsid w:val="00542996"/>
    <w:rsid w:val="00543A9F"/>
    <w:rsid w:val="00565EDF"/>
    <w:rsid w:val="005F2738"/>
    <w:rsid w:val="006F0714"/>
    <w:rsid w:val="007938E9"/>
    <w:rsid w:val="008056B1"/>
    <w:rsid w:val="008C567E"/>
    <w:rsid w:val="009F5315"/>
    <w:rsid w:val="00BB5FF2"/>
    <w:rsid w:val="00DE49A8"/>
    <w:rsid w:val="00DE7D16"/>
    <w:rsid w:val="00E10181"/>
    <w:rsid w:val="00ED328E"/>
    <w:rsid w:val="00F14DA8"/>
    <w:rsid w:val="00FB03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347254"/>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347254"/>
    <w:rPr>
      <w:rFonts w:ascii="Garamond" w:eastAsia="Times New Roman" w:hAnsi="Garamond" w:cs="Garamond"/>
      <w:b/>
      <w:bCs/>
      <w:color w:val="000000"/>
      <w:sz w:val="28"/>
      <w:szCs w:val="28"/>
      <w:lang w:eastAsia="pt-BR"/>
    </w:rPr>
  </w:style>
  <w:style w:type="paragraph" w:customStyle="1" w:styleId="Noparagraphstyle">
    <w:name w:val="[No paragraph style]"/>
    <w:rsid w:val="0034725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347254"/>
    <w:pPr>
      <w:tabs>
        <w:tab w:val="center" w:pos="4252"/>
        <w:tab w:val="right" w:pos="8504"/>
      </w:tabs>
    </w:pPr>
  </w:style>
  <w:style w:type="character" w:customStyle="1" w:styleId="RodapChar">
    <w:name w:val="Rodapé Char"/>
    <w:basedOn w:val="Fontepargpadro"/>
    <w:link w:val="Rodap"/>
    <w:uiPriority w:val="99"/>
    <w:rsid w:val="00347254"/>
    <w:rPr>
      <w:rFonts w:ascii="Times New Roman" w:eastAsia="Times New Roman" w:hAnsi="Times New Roman" w:cs="Times New Roman"/>
      <w:sz w:val="24"/>
      <w:szCs w:val="24"/>
      <w:lang w:eastAsia="pt-BR"/>
    </w:rPr>
  </w:style>
  <w:style w:type="paragraph" w:customStyle="1" w:styleId="Texto">
    <w:name w:val="Texto"/>
    <w:basedOn w:val="Noparagraphstyle"/>
    <w:rsid w:val="00347254"/>
    <w:pPr>
      <w:spacing w:line="250" w:lineRule="atLeast"/>
      <w:jc w:val="both"/>
    </w:pPr>
    <w:rPr>
      <w:rFonts w:ascii="Garamond" w:hAnsi="Garamond" w:cs="Garamond"/>
      <w:sz w:val="21"/>
      <w:szCs w:val="21"/>
    </w:rPr>
  </w:style>
  <w:style w:type="paragraph" w:customStyle="1" w:styleId="Comentrios">
    <w:name w:val="Comentários"/>
    <w:basedOn w:val="Noparagraphstyle"/>
    <w:rsid w:val="00347254"/>
    <w:pPr>
      <w:spacing w:line="240" w:lineRule="atLeast"/>
      <w:ind w:left="227"/>
      <w:jc w:val="both"/>
    </w:pPr>
    <w:rPr>
      <w:rFonts w:ascii="Garamond" w:hAnsi="Garamond" w:cs="Garamond"/>
      <w:sz w:val="20"/>
      <w:szCs w:val="20"/>
    </w:rPr>
  </w:style>
  <w:style w:type="paragraph" w:customStyle="1" w:styleId="Centralizado">
    <w:name w:val="Centralizado"/>
    <w:basedOn w:val="Noparagraphstyle"/>
    <w:rsid w:val="00347254"/>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5F2738"/>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5F2738"/>
    <w:rPr>
      <w:rFonts w:ascii="Calibri" w:eastAsia="Calibri" w:hAnsi="Calibri" w:cs="Times New Roman"/>
      <w:sz w:val="20"/>
      <w:szCs w:val="20"/>
    </w:rPr>
  </w:style>
  <w:style w:type="character" w:styleId="Refdenotaderodap">
    <w:name w:val="footnote reference"/>
    <w:basedOn w:val="Fontepargpadro"/>
    <w:uiPriority w:val="99"/>
    <w:unhideWhenUsed/>
    <w:rsid w:val="005F2738"/>
    <w:rPr>
      <w:vertAlign w:val="superscript"/>
    </w:rPr>
  </w:style>
  <w:style w:type="character" w:styleId="Forte">
    <w:name w:val="Strong"/>
    <w:uiPriority w:val="22"/>
    <w:qFormat/>
    <w:rsid w:val="00FB0322"/>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347254"/>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347254"/>
    <w:rPr>
      <w:rFonts w:ascii="Garamond" w:eastAsia="Times New Roman" w:hAnsi="Garamond" w:cs="Garamond"/>
      <w:b/>
      <w:bCs/>
      <w:color w:val="000000"/>
      <w:sz w:val="28"/>
      <w:szCs w:val="28"/>
      <w:lang w:eastAsia="pt-BR"/>
    </w:rPr>
  </w:style>
  <w:style w:type="paragraph" w:customStyle="1" w:styleId="Noparagraphstyle">
    <w:name w:val="[No paragraph style]"/>
    <w:rsid w:val="0034725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347254"/>
    <w:pPr>
      <w:tabs>
        <w:tab w:val="center" w:pos="4252"/>
        <w:tab w:val="right" w:pos="8504"/>
      </w:tabs>
    </w:pPr>
  </w:style>
  <w:style w:type="character" w:customStyle="1" w:styleId="RodapChar">
    <w:name w:val="Rodapé Char"/>
    <w:basedOn w:val="Fontepargpadro"/>
    <w:link w:val="Rodap"/>
    <w:uiPriority w:val="99"/>
    <w:rsid w:val="00347254"/>
    <w:rPr>
      <w:rFonts w:ascii="Times New Roman" w:eastAsia="Times New Roman" w:hAnsi="Times New Roman" w:cs="Times New Roman"/>
      <w:sz w:val="24"/>
      <w:szCs w:val="24"/>
      <w:lang w:eastAsia="pt-BR"/>
    </w:rPr>
  </w:style>
  <w:style w:type="paragraph" w:customStyle="1" w:styleId="Texto">
    <w:name w:val="Texto"/>
    <w:basedOn w:val="Noparagraphstyle"/>
    <w:rsid w:val="00347254"/>
    <w:pPr>
      <w:spacing w:line="250" w:lineRule="atLeast"/>
      <w:jc w:val="both"/>
    </w:pPr>
    <w:rPr>
      <w:rFonts w:ascii="Garamond" w:hAnsi="Garamond" w:cs="Garamond"/>
      <w:sz w:val="21"/>
      <w:szCs w:val="21"/>
    </w:rPr>
  </w:style>
  <w:style w:type="paragraph" w:customStyle="1" w:styleId="Comentrios">
    <w:name w:val="Comentários"/>
    <w:basedOn w:val="Noparagraphstyle"/>
    <w:rsid w:val="00347254"/>
    <w:pPr>
      <w:spacing w:line="240" w:lineRule="atLeast"/>
      <w:ind w:left="227"/>
      <w:jc w:val="both"/>
    </w:pPr>
    <w:rPr>
      <w:rFonts w:ascii="Garamond" w:hAnsi="Garamond" w:cs="Garamond"/>
      <w:sz w:val="20"/>
      <w:szCs w:val="20"/>
    </w:rPr>
  </w:style>
  <w:style w:type="paragraph" w:customStyle="1" w:styleId="Centralizado">
    <w:name w:val="Centralizado"/>
    <w:basedOn w:val="Noparagraphstyle"/>
    <w:rsid w:val="00347254"/>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5F2738"/>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5F2738"/>
    <w:rPr>
      <w:rFonts w:ascii="Calibri" w:eastAsia="Calibri" w:hAnsi="Calibri" w:cs="Times New Roman"/>
      <w:sz w:val="20"/>
      <w:szCs w:val="20"/>
    </w:rPr>
  </w:style>
  <w:style w:type="character" w:styleId="Refdenotaderodap">
    <w:name w:val="footnote reference"/>
    <w:basedOn w:val="Fontepargpadro"/>
    <w:uiPriority w:val="99"/>
    <w:unhideWhenUsed/>
    <w:rsid w:val="005F2738"/>
    <w:rPr>
      <w:vertAlign w:val="superscript"/>
    </w:rPr>
  </w:style>
  <w:style w:type="character" w:styleId="Forte">
    <w:name w:val="Strong"/>
    <w:uiPriority w:val="22"/>
    <w:qFormat/>
    <w:rsid w:val="00FB0322"/>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17316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1355</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2020-06-30T17:18:00Z</dcterms:created>
  <dcterms:modified xsi:type="dcterms:W3CDTF">2020-08-24T15:24:00Z</dcterms:modified>
</cp:coreProperties>
</file>