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D" w:rsidRPr="004643ED" w:rsidRDefault="004643ED" w:rsidP="004643ED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4643ED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E56CDC" w:rsidRPr="004643ED" w:rsidRDefault="00E56CDC" w:rsidP="004643ED">
      <w:pPr>
        <w:pStyle w:val="Ttulo"/>
        <w:spacing w:before="0" w:after="0" w:line="240" w:lineRule="auto"/>
        <w:ind w:right="-568"/>
        <w:rPr>
          <w:rStyle w:val="Forte"/>
          <w:rFonts w:ascii="Arial Black" w:hAnsi="Arial Black"/>
          <w:b/>
          <w:bCs/>
          <w:sz w:val="24"/>
          <w:szCs w:val="24"/>
        </w:rPr>
      </w:pPr>
      <w:r w:rsidRPr="004643ED">
        <w:rPr>
          <w:rFonts w:ascii="Arial Black" w:hAnsi="Arial Black" w:cs="Times New Roman"/>
          <w:color w:val="auto"/>
          <w:sz w:val="24"/>
          <w:szCs w:val="24"/>
        </w:rPr>
        <w:t>CHEQUE</w:t>
      </w:r>
      <w:r w:rsidR="00867A48" w:rsidRPr="004643ED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4643ED">
        <w:rPr>
          <w:rStyle w:val="Forte"/>
          <w:rFonts w:ascii="Arial Black" w:hAnsi="Arial Black"/>
          <w:b/>
          <w:bCs/>
          <w:sz w:val="24"/>
          <w:szCs w:val="24"/>
        </w:rPr>
        <w:t>PÓS-DATADO. DEPÓSITO ANTECIPADO</w:t>
      </w:r>
      <w:r w:rsidR="00867A48" w:rsidRPr="004643ED">
        <w:rPr>
          <w:rStyle w:val="Forte"/>
          <w:rFonts w:ascii="Arial Black" w:hAnsi="Arial Black"/>
          <w:b/>
          <w:bCs/>
          <w:sz w:val="24"/>
          <w:szCs w:val="24"/>
        </w:rPr>
        <w:t>. INDENIZAÇÃO.</w:t>
      </w:r>
    </w:p>
    <w:p w:rsidR="00867A48" w:rsidRDefault="00867A48" w:rsidP="004643ED">
      <w:pPr>
        <w:pStyle w:val="Ttulo"/>
        <w:spacing w:before="0" w:after="0" w:line="240" w:lineRule="auto"/>
        <w:ind w:right="-568"/>
        <w:rPr>
          <w:rStyle w:val="Forte"/>
          <w:rFonts w:ascii="Arial Black" w:hAnsi="Arial Black"/>
          <w:b/>
          <w:bCs/>
          <w:sz w:val="24"/>
          <w:szCs w:val="24"/>
        </w:rPr>
      </w:pPr>
      <w:r w:rsidRPr="004643ED">
        <w:rPr>
          <w:rStyle w:val="Forte"/>
          <w:rFonts w:ascii="Arial Black" w:hAnsi="Arial Black"/>
          <w:b/>
          <w:bCs/>
          <w:sz w:val="24"/>
          <w:szCs w:val="24"/>
        </w:rPr>
        <w:t>INICIAL</w:t>
      </w:r>
    </w:p>
    <w:p w:rsidR="00603588" w:rsidRDefault="00603588" w:rsidP="00603588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040815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aps/>
          <w:color w:val="000000"/>
          <w:u w:val="single"/>
        </w:rPr>
      </w:pPr>
      <w:bookmarkStart w:id="0" w:name="_GoBack"/>
      <w:bookmarkEnd w:id="0"/>
    </w:p>
    <w:p w:rsidR="00040815" w:rsidRPr="004643ED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aps/>
          <w:color w:val="000000"/>
          <w:u w:color="000000"/>
        </w:rPr>
      </w:pPr>
      <w:r w:rsidRPr="00AA4B15">
        <w:rPr>
          <w:caps/>
          <w:color w:val="000000"/>
          <w:u w:val="single"/>
        </w:rPr>
        <w:t>Comentários</w:t>
      </w:r>
      <w:r w:rsidRPr="00AA4B15">
        <w:rPr>
          <w:caps/>
          <w:color w:val="000000"/>
          <w:u w:color="000000"/>
        </w:rPr>
        <w:t>:</w:t>
      </w:r>
      <w:r>
        <w:rPr>
          <w:color w:val="000000"/>
        </w:rPr>
        <w:tab/>
      </w:r>
    </w:p>
    <w:p w:rsidR="000408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040815" w:rsidRPr="005D4CB2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0408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0408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0408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0408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040815" w:rsidRPr="00AA4B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040815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E56CDC" w:rsidRPr="005D4CB2" w:rsidRDefault="00040815" w:rsidP="004643ED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040815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4CB2" w:rsidRDefault="005D4CB2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E56CDC"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E56CDC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E56CDC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E56CDC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E56CDC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 vem, respeitosamente, propor </w:t>
      </w:r>
      <w:r w:rsidR="00E56CDC" w:rsidRPr="006E17A9">
        <w:rPr>
          <w:rFonts w:ascii="Times New Roman" w:hAnsi="Times New Roman" w:cs="Times New Roman"/>
          <w:bCs/>
          <w:sz w:val="24"/>
          <w:szCs w:val="24"/>
        </w:rPr>
        <w:t>AÇÃO DE INDENIZAÇÃO</w:t>
      </w:r>
      <w:r w:rsidR="00E56CDC" w:rsidRPr="006E17A9">
        <w:rPr>
          <w:rFonts w:ascii="Times New Roman" w:hAnsi="Times New Roman" w:cs="Times New Roman"/>
          <w:sz w:val="24"/>
          <w:szCs w:val="24"/>
        </w:rPr>
        <w:t xml:space="preserve"> contra </w:t>
      </w: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E56CDC" w:rsidRPr="006E17A9">
        <w:rPr>
          <w:rFonts w:ascii="Times New Roman" w:hAnsi="Times New Roman" w:cs="Times New Roman"/>
          <w:sz w:val="24"/>
          <w:szCs w:val="24"/>
        </w:rPr>
        <w:t>, pelas razões de fato e direito adiante articuladas: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1. O autor adquiriu do suplicado um veículo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marca ...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, ano/modelo ...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placas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chassi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..., mediante o pagamento de ...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vista e mais um cheque no valor de ...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pré-datado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para o dia ...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conforme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anexo (doc. </w:t>
      </w: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. ...)</w:t>
      </w:r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br/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2. Não obstante o ajustado, mencionado cheque fora depositado em data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, antes, portanto, da data aprazada pelas partes. Mencionado cheque fora pago pela instituição financeira sacada (doc.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>). Todavia, outros cheques, a saber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 ...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de emissão do autor, foram devolvidos por falta de fundos. 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Tudo ocorreu pelo depósito indevido do mencionado cheque antes da data aprazada pelas partes, tendo o autor sofrido dano moral, eis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que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cheques de sua emissão foram injustamente devolvidos maculando sua imagem perante os favorecidos dos cheques, em detrimento de sua moral e boa fama comercial.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A emissão de cheque pré-datado pressupõe a aceitação pelo favorecido dessa condição, não lhe sendo lícito, portanto, depositar esse título antes da data aprazada,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56CDC">
        <w:rPr>
          <w:rFonts w:ascii="Times New Roman" w:hAnsi="Times New Roman" w:cs="Times New Roman"/>
          <w:i/>
          <w:sz w:val="24"/>
          <w:szCs w:val="24"/>
        </w:rPr>
        <w:t>sob pena</w:t>
      </w:r>
      <w:proofErr w:type="gramEnd"/>
      <w:r w:rsidRPr="00E56CDC">
        <w:rPr>
          <w:rFonts w:ascii="Times New Roman" w:hAnsi="Times New Roman" w:cs="Times New Roman"/>
          <w:i/>
          <w:sz w:val="24"/>
          <w:szCs w:val="24"/>
        </w:rPr>
        <w:t xml:space="preserve"> de prejudicar o emitente, com a ocorrência de danos morais à sua pessoa, pela devolução do cheque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 xml:space="preserve">, conforme bem escreveu João Roberto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Parizatto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, Dano Moral, 3ª edição,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Edipa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, 2001, p. 51.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4CB2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 A jurisprudência é no sentido de que:</w:t>
      </w:r>
    </w:p>
    <w:p w:rsidR="005D4CB2" w:rsidRDefault="005D4CB2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“A apresentação prematura do cheque ao estabelecimento bancário, resultando em encerramento da conta do emitente, acarreta ao responsável obrigação indenizatória por dano moral, que deve ser fixada de acordo com a gravidade da lesão, intensidade da culpa ou dolo do agente e condiç</w:t>
      </w:r>
      <w:r>
        <w:rPr>
          <w:rFonts w:ascii="Times New Roman" w:hAnsi="Times New Roman" w:cs="Times New Roman"/>
          <w:i/>
          <w:iCs/>
          <w:sz w:val="24"/>
          <w:szCs w:val="24"/>
        </w:rPr>
        <w:t>ões socioeconômicas das partes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Ac. 5ª Câm.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do TJMG, na Ap.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. 190.931-9, DJMG 09-08-95).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“A devolução de cheque pré-datado, por insuficiência de fundos, apresentado antes da data ajustada entre as partes, constitui fato capaz de </w:t>
      </w:r>
      <w:r>
        <w:rPr>
          <w:rFonts w:ascii="Times New Roman" w:hAnsi="Times New Roman" w:cs="Times New Roman"/>
          <w:i/>
          <w:iCs/>
          <w:sz w:val="24"/>
          <w:szCs w:val="24"/>
        </w:rPr>
        <w:t>gerar prejuízos de ordem moral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6E17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Ac. 3ª Turma do STJ, no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 213.940-MG, rel. Min. Eduardo Ribeiro, j. 29-06-00, DJU 21-08-00, p. 124).</w:t>
      </w: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No mesmo sentido: Ac. 12ª Câm.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TJRJ, na Ap.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99.001.1176, j.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13-04-99, RJTJMG 69/155, 71/165, RT 732/318)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040815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br/>
        <w:t xml:space="preserve">6.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</w:t>
      </w:r>
      <w:r w:rsidR="00040815">
        <w:rPr>
          <w:rFonts w:ascii="Times New Roman" w:hAnsi="Times New Roman" w:cs="Times New Roman"/>
          <w:sz w:val="24"/>
          <w:szCs w:val="24"/>
        </w:rPr>
        <w:t xml:space="preserve"> o autor</w:t>
      </w:r>
      <w:r w:rsidRPr="006E17A9">
        <w:rPr>
          <w:rFonts w:ascii="Times New Roman" w:hAnsi="Times New Roman" w:cs="Times New Roman"/>
          <w:sz w:val="24"/>
          <w:szCs w:val="24"/>
        </w:rPr>
        <w:t xml:space="preserve"> requer</w:t>
      </w:r>
      <w:r w:rsidR="00040815">
        <w:rPr>
          <w:rFonts w:ascii="Times New Roman" w:hAnsi="Times New Roman" w:cs="Times New Roman"/>
          <w:sz w:val="24"/>
          <w:szCs w:val="24"/>
        </w:rPr>
        <w:t>:</w:t>
      </w:r>
    </w:p>
    <w:p w:rsidR="00040815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40815" w:rsidRPr="005D4CB2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D4CB2">
        <w:rPr>
          <w:rFonts w:ascii="Times New Roman" w:hAnsi="Times New Roman" w:cs="Times New Roman"/>
          <w:sz w:val="24"/>
          <w:szCs w:val="24"/>
        </w:rPr>
        <w:t>a) seja</w:t>
      </w:r>
      <w:r w:rsidR="00E56CDC" w:rsidRPr="005D4CB2">
        <w:rPr>
          <w:rFonts w:ascii="Times New Roman" w:hAnsi="Times New Roman" w:cs="Times New Roman"/>
          <w:sz w:val="24"/>
          <w:szCs w:val="24"/>
        </w:rPr>
        <w:t xml:space="preserve"> </w:t>
      </w:r>
      <w:r w:rsidRPr="005D4CB2">
        <w:rPr>
          <w:rFonts w:ascii="Times New Roman" w:hAnsi="Times New Roman" w:cs="Times New Roman"/>
          <w:sz w:val="24"/>
          <w:szCs w:val="24"/>
        </w:rPr>
        <w:t xml:space="preserve">JULGADA COMO PROCEDENTE A PRESENTE AÇÃO para </w:t>
      </w:r>
      <w:r w:rsidR="00E56CDC" w:rsidRPr="005D4CB2">
        <w:rPr>
          <w:rFonts w:ascii="Times New Roman" w:hAnsi="Times New Roman" w:cs="Times New Roman"/>
          <w:sz w:val="24"/>
          <w:szCs w:val="24"/>
        </w:rPr>
        <w:t xml:space="preserve">condenar o suplicado na quantia correspondente </w:t>
      </w:r>
      <w:proofErr w:type="gramStart"/>
      <w:r w:rsidR="00E56CDC" w:rsidRPr="005D4CB2">
        <w:rPr>
          <w:rFonts w:ascii="Times New Roman" w:hAnsi="Times New Roman" w:cs="Times New Roman"/>
          <w:sz w:val="24"/>
          <w:szCs w:val="24"/>
        </w:rPr>
        <w:t>a ...</w:t>
      </w:r>
      <w:proofErr w:type="gramEnd"/>
      <w:r w:rsidRPr="005D4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CDC" w:rsidRPr="005D4CB2">
        <w:rPr>
          <w:rFonts w:ascii="Times New Roman" w:hAnsi="Times New Roman" w:cs="Times New Roman"/>
          <w:sz w:val="24"/>
          <w:szCs w:val="24"/>
        </w:rPr>
        <w:t>salários</w:t>
      </w:r>
      <w:proofErr w:type="gramEnd"/>
      <w:r w:rsidR="00E56CDC" w:rsidRPr="005D4CB2">
        <w:rPr>
          <w:rFonts w:ascii="Times New Roman" w:hAnsi="Times New Roman" w:cs="Times New Roman"/>
          <w:sz w:val="24"/>
          <w:szCs w:val="24"/>
        </w:rPr>
        <w:t xml:space="preserve"> mínimos ..., ou em valor a ser fixado por </w:t>
      </w:r>
      <w:r w:rsidRPr="005D4CB2">
        <w:rPr>
          <w:rFonts w:ascii="Times New Roman" w:hAnsi="Times New Roman" w:cs="Times New Roman"/>
          <w:sz w:val="24"/>
          <w:szCs w:val="24"/>
        </w:rPr>
        <w:t>V. Exa.</w:t>
      </w:r>
      <w:r w:rsidR="00E56CDC" w:rsidRPr="005D4CB2">
        <w:rPr>
          <w:rFonts w:ascii="Times New Roman" w:hAnsi="Times New Roman" w:cs="Times New Roman"/>
          <w:sz w:val="24"/>
          <w:szCs w:val="24"/>
        </w:rPr>
        <w:t xml:space="preserve">, condenando-o, ainda, </w:t>
      </w:r>
      <w:r w:rsidRPr="005D4CB2">
        <w:rPr>
          <w:rFonts w:ascii="Times New Roman" w:hAnsi="Times New Roman" w:cs="Times New Roman"/>
          <w:sz w:val="24"/>
          <w:szCs w:val="24"/>
        </w:rPr>
        <w:t>ao pagamento das custas processuais e honorários advocatícios</w:t>
      </w:r>
      <w:r w:rsidR="00E56CDC" w:rsidRPr="005D4CB2">
        <w:rPr>
          <w:rFonts w:ascii="Times New Roman" w:hAnsi="Times New Roman" w:cs="Times New Roman"/>
          <w:sz w:val="24"/>
          <w:szCs w:val="24"/>
        </w:rPr>
        <w:t>.</w:t>
      </w:r>
    </w:p>
    <w:p w:rsidR="00040815" w:rsidRPr="005D4CB2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40815" w:rsidRPr="005D4CB2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5D4CB2">
        <w:rPr>
          <w:color w:val="000000"/>
        </w:rPr>
        <w:t>b) seja citado o réu por mandado, para querendo, contestar no prazo de 15 (quinze) dias</w:t>
      </w:r>
      <w:r w:rsidRPr="005D4CB2">
        <w:rPr>
          <w:color w:val="000000"/>
          <w:vertAlign w:val="superscript"/>
        </w:rPr>
        <w:footnoteReference w:id="4"/>
      </w:r>
      <w:r w:rsidRPr="005D4CB2">
        <w:rPr>
          <w:color w:val="000000"/>
        </w:rPr>
        <w:t xml:space="preserve">, </w:t>
      </w:r>
      <w:proofErr w:type="gramStart"/>
      <w:r w:rsidRPr="005D4CB2">
        <w:rPr>
          <w:color w:val="000000"/>
        </w:rPr>
        <w:t>sob pena</w:t>
      </w:r>
      <w:proofErr w:type="gramEnd"/>
      <w:r w:rsidRPr="005D4CB2">
        <w:rPr>
          <w:color w:val="000000"/>
        </w:rPr>
        <w:t xml:space="preserve"> de revelia</w:t>
      </w:r>
      <w:r w:rsidRPr="005D4CB2">
        <w:rPr>
          <w:color w:val="000000"/>
          <w:vertAlign w:val="superscript"/>
        </w:rPr>
        <w:footnoteReference w:id="5"/>
      </w:r>
      <w:r w:rsidRPr="005D4CB2">
        <w:rPr>
          <w:color w:val="000000"/>
        </w:rPr>
        <w:t>;</w:t>
      </w:r>
    </w:p>
    <w:p w:rsidR="00040815" w:rsidRPr="005D4CB2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040815" w:rsidRPr="005D4CB2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D4CB2">
        <w:rPr>
          <w:rFonts w:ascii="Times New Roman" w:hAnsi="Times New Roman" w:cs="Times New Roman"/>
          <w:sz w:val="24"/>
          <w:szCs w:val="24"/>
        </w:rPr>
        <w:t xml:space="preserve">c) </w:t>
      </w:r>
      <w:r w:rsidRPr="005D4C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5D4CB2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5D4C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5D4CB2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6"/>
      </w:r>
      <w:r w:rsidRPr="005D4C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5D4C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5D4C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e documentos ora anexados (doc. n. ...);</w:t>
      </w:r>
    </w:p>
    <w:p w:rsidR="00040815" w:rsidRPr="005D4CB2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040815" w:rsidRPr="005D4CB2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5D4CB2">
        <w:rPr>
          <w:color w:val="000000"/>
        </w:rPr>
        <w:t>d) a produção de provas documental, depoimento pessoal, testemunhal e pericial.</w:t>
      </w:r>
    </w:p>
    <w:p w:rsidR="00040815" w:rsidRPr="005D4CB2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040815" w:rsidRPr="002603CA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5D4CB2">
        <w:rPr>
          <w:color w:val="000000"/>
        </w:rPr>
        <w:t>Nesta oportunidade</w:t>
      </w:r>
      <w:r w:rsidRPr="002603CA">
        <w:rPr>
          <w:color w:val="000000"/>
        </w:rPr>
        <w:t xml:space="preserve">, os autores optam pela </w:t>
      </w:r>
      <w:r w:rsidRPr="005D4CB2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7"/>
      </w:r>
      <w:r w:rsidRPr="002603CA">
        <w:rPr>
          <w:color w:val="000000"/>
        </w:rPr>
        <w:t>.</w:t>
      </w:r>
    </w:p>
    <w:p w:rsidR="00040815" w:rsidRPr="002603CA" w:rsidRDefault="00040815" w:rsidP="004643ED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040815" w:rsidRPr="00040815" w:rsidRDefault="00040815" w:rsidP="004643ED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(...)</w:t>
      </w:r>
      <w:r>
        <w:rPr>
          <w:color w:val="000000"/>
        </w:rPr>
        <w:t>.</w:t>
      </w:r>
    </w:p>
    <w:p w:rsidR="00040815" w:rsidRPr="002603CA" w:rsidRDefault="00040815" w:rsidP="004643ED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040815" w:rsidRPr="002603CA" w:rsidRDefault="00040815" w:rsidP="004643ED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040815" w:rsidRPr="002603CA" w:rsidRDefault="00040815" w:rsidP="004643ED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040815" w:rsidRPr="002603CA" w:rsidRDefault="00040815" w:rsidP="004643ED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040815" w:rsidRDefault="00040815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56CDC" w:rsidRPr="006E17A9" w:rsidRDefault="00E56CDC" w:rsidP="004643E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F5315" w:rsidRDefault="009F5315" w:rsidP="004643ED">
      <w:pPr>
        <w:ind w:right="-568"/>
      </w:pPr>
    </w:p>
    <w:sectPr w:rsidR="009F5315" w:rsidSect="000B5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3A" w:rsidRDefault="00C13D3A" w:rsidP="00040815">
      <w:r>
        <w:separator/>
      </w:r>
    </w:p>
  </w:endnote>
  <w:endnote w:type="continuationSeparator" w:id="0">
    <w:p w:rsidR="00C13D3A" w:rsidRDefault="00C13D3A" w:rsidP="0004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3A" w:rsidRDefault="00C13D3A" w:rsidP="00040815">
      <w:r>
        <w:separator/>
      </w:r>
    </w:p>
  </w:footnote>
  <w:footnote w:type="continuationSeparator" w:id="0">
    <w:p w:rsidR="00C13D3A" w:rsidRDefault="00C13D3A" w:rsidP="00040815">
      <w:r>
        <w:continuationSeparator/>
      </w:r>
    </w:p>
  </w:footnote>
  <w:footnote w:id="1"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4643ED">
        <w:rPr>
          <w:rStyle w:val="Refdenotaderodap"/>
          <w:rFonts w:ascii="Times New Roman" w:hAnsi="Times New Roman"/>
        </w:rPr>
        <w:footnoteRef/>
      </w:r>
      <w:r w:rsidRPr="004643ED">
        <w:rPr>
          <w:rFonts w:ascii="Times New Roman" w:hAnsi="Times New Roman"/>
          <w:b/>
        </w:rPr>
        <w:t>Art. 319.</w:t>
      </w:r>
      <w:r w:rsidRPr="004643ED">
        <w:rPr>
          <w:rFonts w:ascii="Times New Roman" w:hAnsi="Times New Roman"/>
        </w:rPr>
        <w:t xml:space="preserve">  A petição inicial indicará:</w:t>
      </w:r>
      <w:bookmarkStart w:id="1" w:name="art319i"/>
      <w:bookmarkEnd w:id="1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 xml:space="preserve">I </w:t>
      </w:r>
      <w:r w:rsidRPr="004643ED">
        <w:rPr>
          <w:rFonts w:ascii="Times New Roman" w:hAnsi="Times New Roman"/>
        </w:rPr>
        <w:t>- o juízo a que é dirigida;</w:t>
      </w:r>
      <w:bookmarkStart w:id="2" w:name="art319ii"/>
      <w:bookmarkEnd w:id="2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II</w:t>
      </w:r>
      <w:r w:rsidRPr="004643ED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III</w:t>
      </w:r>
      <w:r w:rsidRPr="004643ED">
        <w:rPr>
          <w:rFonts w:ascii="Times New Roman" w:hAnsi="Times New Roman"/>
        </w:rPr>
        <w:t xml:space="preserve"> - o fato e os fundamentos jurídicos do pedido;</w:t>
      </w:r>
      <w:bookmarkStart w:id="4" w:name="art319iv"/>
      <w:bookmarkEnd w:id="4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IV</w:t>
      </w:r>
      <w:r w:rsidRPr="004643ED">
        <w:rPr>
          <w:rFonts w:ascii="Times New Roman" w:hAnsi="Times New Roman"/>
        </w:rPr>
        <w:t xml:space="preserve"> - o pedido com as suas especificações;</w:t>
      </w:r>
      <w:bookmarkStart w:id="5" w:name="art319v"/>
      <w:bookmarkEnd w:id="5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V</w:t>
      </w:r>
      <w:r w:rsidRPr="004643ED">
        <w:rPr>
          <w:rFonts w:ascii="Times New Roman" w:hAnsi="Times New Roman"/>
        </w:rPr>
        <w:t xml:space="preserve"> - o valor da causa;</w:t>
      </w:r>
      <w:bookmarkStart w:id="6" w:name="art319vi"/>
      <w:bookmarkEnd w:id="6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 xml:space="preserve">VI </w:t>
      </w:r>
      <w:r w:rsidRPr="004643ED">
        <w:rPr>
          <w:rFonts w:ascii="Times New Roman" w:hAnsi="Times New Roman"/>
        </w:rPr>
        <w:t>- as provas com que o autor pretende demonstrar a verdade dos fatos alegados;</w:t>
      </w:r>
      <w:bookmarkStart w:id="7" w:name="art319vii"/>
      <w:bookmarkEnd w:id="7"/>
      <w:r w:rsidR="004643ED"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VII</w:t>
      </w:r>
      <w:r w:rsidRPr="004643ED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8" w:name="art319§1"/>
      <w:bookmarkEnd w:id="8"/>
      <w:r w:rsidRPr="004643ED">
        <w:rPr>
          <w:rFonts w:ascii="Times New Roman" w:hAnsi="Times New Roman"/>
          <w:b/>
        </w:rPr>
        <w:t>§ 1</w:t>
      </w:r>
      <w:r w:rsidRPr="004643ED">
        <w:rPr>
          <w:rFonts w:ascii="Times New Roman" w:hAnsi="Times New Roman"/>
          <w:b/>
          <w:u w:val="single"/>
          <w:vertAlign w:val="superscript"/>
        </w:rPr>
        <w:t>o</w:t>
      </w:r>
      <w:r w:rsidRPr="004643ED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§ 2</w:t>
      </w:r>
      <w:r w:rsidRPr="004643ED">
        <w:rPr>
          <w:rFonts w:ascii="Times New Roman" w:hAnsi="Times New Roman"/>
          <w:b/>
          <w:u w:val="single"/>
          <w:vertAlign w:val="superscript"/>
        </w:rPr>
        <w:t>o</w:t>
      </w:r>
      <w:r w:rsidRPr="004643ED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643ED">
        <w:rPr>
          <w:rFonts w:ascii="Times New Roman" w:hAnsi="Times New Roman"/>
          <w:b/>
        </w:rPr>
        <w:t>§ 3</w:t>
      </w:r>
      <w:r w:rsidRPr="004643ED">
        <w:rPr>
          <w:rFonts w:ascii="Times New Roman" w:hAnsi="Times New Roman"/>
          <w:b/>
          <w:u w:val="single"/>
          <w:vertAlign w:val="superscript"/>
        </w:rPr>
        <w:t>o</w:t>
      </w:r>
      <w:r w:rsidRPr="004643ED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4643ED">
        <w:rPr>
          <w:rFonts w:ascii="Times New Roman" w:hAnsi="Times New Roman"/>
        </w:rPr>
        <w:t>tornar</w:t>
      </w:r>
      <w:proofErr w:type="gramEnd"/>
      <w:r w:rsidRPr="004643ED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040815" w:rsidRPr="004643ED" w:rsidRDefault="00040815" w:rsidP="004643ED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643ED">
        <w:rPr>
          <w:sz w:val="20"/>
          <w:szCs w:val="20"/>
          <w:vertAlign w:val="superscript"/>
        </w:rPr>
        <w:footnoteRef/>
      </w:r>
      <w:r w:rsidRPr="004643ED">
        <w:rPr>
          <w:b/>
          <w:bCs/>
          <w:sz w:val="20"/>
          <w:szCs w:val="20"/>
        </w:rPr>
        <w:t>Art. 292</w:t>
      </w:r>
      <w:r w:rsidRPr="004643ED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I </w:t>
      </w:r>
      <w:r w:rsidRPr="004643ED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II </w:t>
      </w:r>
      <w:r w:rsidRPr="004643ED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III </w:t>
      </w:r>
      <w:r w:rsidRPr="004643ED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IV </w:t>
      </w:r>
      <w:r w:rsidRPr="004643ED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V </w:t>
      </w:r>
      <w:r w:rsidRPr="004643ED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>VI -</w:t>
      </w:r>
      <w:r w:rsidRPr="004643ED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VII - </w:t>
      </w:r>
      <w:r w:rsidRPr="004643ED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4643ED" w:rsidRPr="004643ED">
        <w:rPr>
          <w:bCs/>
          <w:sz w:val="20"/>
          <w:szCs w:val="20"/>
        </w:rPr>
        <w:t xml:space="preserve"> </w:t>
      </w:r>
      <w:r w:rsidRPr="004643ED">
        <w:rPr>
          <w:b/>
          <w:bCs/>
          <w:sz w:val="20"/>
          <w:szCs w:val="20"/>
        </w:rPr>
        <w:t xml:space="preserve">VIII </w:t>
      </w:r>
      <w:r w:rsidRPr="004643ED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4643ED">
        <w:rPr>
          <w:b/>
          <w:bCs/>
          <w:sz w:val="20"/>
          <w:szCs w:val="20"/>
        </w:rPr>
        <w:t>§ 1</w:t>
      </w:r>
      <w:r w:rsidRPr="004643ED">
        <w:rPr>
          <w:b/>
          <w:bCs/>
          <w:sz w:val="20"/>
          <w:szCs w:val="20"/>
          <w:u w:val="single"/>
          <w:vertAlign w:val="superscript"/>
        </w:rPr>
        <w:t>o</w:t>
      </w:r>
      <w:r w:rsidRPr="004643ED">
        <w:rPr>
          <w:b/>
          <w:bCs/>
          <w:sz w:val="20"/>
          <w:szCs w:val="20"/>
        </w:rPr>
        <w:t> </w:t>
      </w:r>
      <w:r w:rsidRPr="004643ED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4643ED">
        <w:rPr>
          <w:b/>
          <w:bCs/>
          <w:sz w:val="20"/>
          <w:szCs w:val="20"/>
        </w:rPr>
        <w:t>§ 2</w:t>
      </w:r>
      <w:r w:rsidRPr="004643ED">
        <w:rPr>
          <w:b/>
          <w:bCs/>
          <w:sz w:val="20"/>
          <w:szCs w:val="20"/>
          <w:u w:val="single"/>
          <w:vertAlign w:val="superscript"/>
        </w:rPr>
        <w:t>o</w:t>
      </w:r>
      <w:r w:rsidRPr="004643ED">
        <w:rPr>
          <w:b/>
          <w:bCs/>
          <w:sz w:val="20"/>
          <w:szCs w:val="20"/>
        </w:rPr>
        <w:t> </w:t>
      </w:r>
      <w:r w:rsidRPr="004643ED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4643ED">
        <w:rPr>
          <w:bCs/>
          <w:sz w:val="20"/>
          <w:szCs w:val="20"/>
        </w:rPr>
        <w:t>1</w:t>
      </w:r>
      <w:proofErr w:type="gramEnd"/>
      <w:r w:rsidRPr="004643ED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4643ED">
        <w:rPr>
          <w:rStyle w:val="Refdenotaderodap"/>
          <w:rFonts w:ascii="Times New Roman" w:hAnsi="Times New Roman"/>
        </w:rPr>
        <w:footnoteRef/>
      </w:r>
      <w:r w:rsidRPr="004643ED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4643ED">
        <w:rPr>
          <w:rFonts w:ascii="Times New Roman" w:hAnsi="Times New Roman"/>
        </w:rPr>
        <w:t>a</w:t>
      </w:r>
      <w:proofErr w:type="gramEnd"/>
      <w:r w:rsidRPr="004643ED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4643ED">
        <w:rPr>
          <w:rFonts w:ascii="Times New Roman" w:hAnsi="Times New Roman"/>
          <w:i/>
        </w:rPr>
        <w:t>residência</w:t>
      </w:r>
      <w:r w:rsidRPr="004643ED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4643ED">
        <w:rPr>
          <w:rFonts w:ascii="Times New Roman" w:hAnsi="Times New Roman"/>
        </w:rPr>
        <w:t>Exigi-se</w:t>
      </w:r>
      <w:proofErr w:type="spellEnd"/>
      <w:r w:rsidRPr="004643ED">
        <w:rPr>
          <w:rFonts w:ascii="Times New Roman" w:hAnsi="Times New Roman"/>
        </w:rPr>
        <w:t xml:space="preserve"> o intuito de permanência. Já o </w:t>
      </w:r>
      <w:r w:rsidRPr="004643ED">
        <w:rPr>
          <w:rFonts w:ascii="Times New Roman" w:hAnsi="Times New Roman"/>
          <w:i/>
        </w:rPr>
        <w:t>domicílio</w:t>
      </w:r>
      <w:r w:rsidRPr="004643ED">
        <w:rPr>
          <w:rFonts w:ascii="Times New Roman" w:hAnsi="Times New Roman"/>
        </w:rPr>
        <w:t xml:space="preserve">, conforme a definição dos </w:t>
      </w:r>
      <w:proofErr w:type="spellStart"/>
      <w:r w:rsidRPr="004643ED">
        <w:rPr>
          <w:rFonts w:ascii="Times New Roman" w:hAnsi="Times New Roman"/>
        </w:rPr>
        <w:t>arts</w:t>
      </w:r>
      <w:proofErr w:type="spellEnd"/>
      <w:r w:rsidRPr="004643ED">
        <w:rPr>
          <w:rFonts w:ascii="Times New Roman" w:hAnsi="Times New Roman"/>
        </w:rPr>
        <w:t xml:space="preserve">. 70 </w:t>
      </w:r>
      <w:proofErr w:type="spellStart"/>
      <w:r w:rsidRPr="004643ED">
        <w:rPr>
          <w:rFonts w:ascii="Times New Roman" w:hAnsi="Times New Roman"/>
          <w:i/>
        </w:rPr>
        <w:t>usque</w:t>
      </w:r>
      <w:proofErr w:type="spellEnd"/>
      <w:r w:rsidRPr="004643ED">
        <w:rPr>
          <w:rFonts w:ascii="Times New Roman" w:hAnsi="Times New Roman"/>
          <w:i/>
        </w:rPr>
        <w:t xml:space="preserve"> </w:t>
      </w:r>
      <w:r w:rsidRPr="004643ED">
        <w:rPr>
          <w:rFonts w:ascii="Times New Roman" w:hAnsi="Times New Roman"/>
        </w:rPr>
        <w:t xml:space="preserve">78, para pessoas físicas ou jurídicas, </w:t>
      </w:r>
      <w:proofErr w:type="gramStart"/>
      <w:r w:rsidRPr="004643ED">
        <w:rPr>
          <w:rFonts w:ascii="Times New Roman" w:hAnsi="Times New Roman"/>
        </w:rPr>
        <w:t>é conceituado</w:t>
      </w:r>
      <w:proofErr w:type="gramEnd"/>
      <w:r w:rsidRPr="004643ED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4643ED">
        <w:rPr>
          <w:rStyle w:val="Refdenotaderodap"/>
          <w:rFonts w:ascii="Times New Roman" w:hAnsi="Times New Roman"/>
        </w:rPr>
        <w:footnoteRef/>
      </w:r>
      <w:r w:rsidRPr="004643ED">
        <w:rPr>
          <w:rFonts w:ascii="Times New Roman" w:hAnsi="Times New Roman"/>
          <w:lang w:val="en-US"/>
        </w:rPr>
        <w:t xml:space="preserve"> </w:t>
      </w:r>
      <w:proofErr w:type="gramStart"/>
      <w:r w:rsidRPr="004643ED">
        <w:rPr>
          <w:rFonts w:ascii="Times New Roman" w:hAnsi="Times New Roman"/>
          <w:b/>
          <w:lang w:val="en-US"/>
        </w:rPr>
        <w:t>CPC, art.</w:t>
      </w:r>
      <w:proofErr w:type="gramEnd"/>
      <w:r w:rsidRPr="004643ED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643ED">
        <w:rPr>
          <w:rFonts w:ascii="Times New Roman" w:hAnsi="Times New Roman"/>
          <w:b/>
          <w:lang w:val="en-US"/>
        </w:rPr>
        <w:t xml:space="preserve">335, </w:t>
      </w:r>
      <w:r w:rsidRPr="004643ED">
        <w:rPr>
          <w:rFonts w:ascii="Times New Roman" w:hAnsi="Times New Roman"/>
          <w:b/>
          <w:i/>
          <w:lang w:val="en-US"/>
        </w:rPr>
        <w:t>caput</w:t>
      </w:r>
      <w:r w:rsidRPr="004643ED">
        <w:rPr>
          <w:rFonts w:ascii="Times New Roman" w:hAnsi="Times New Roman"/>
          <w:b/>
          <w:lang w:val="en-US"/>
        </w:rPr>
        <w:t xml:space="preserve"> c.c. art.</w:t>
      </w:r>
      <w:proofErr w:type="gramEnd"/>
      <w:r w:rsidRPr="004643ED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643ED">
        <w:rPr>
          <w:rFonts w:ascii="Times New Roman" w:hAnsi="Times New Roman"/>
          <w:b/>
          <w:lang w:val="en-US"/>
        </w:rPr>
        <w:t>231, II</w:t>
      </w:r>
      <w:r w:rsidRPr="004643ED">
        <w:rPr>
          <w:rFonts w:ascii="Times New Roman" w:hAnsi="Times New Roman"/>
          <w:lang w:val="en-US"/>
        </w:rPr>
        <w:t>.</w:t>
      </w:r>
      <w:proofErr w:type="gramEnd"/>
    </w:p>
  </w:footnote>
  <w:footnote w:id="5"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4643ED">
        <w:rPr>
          <w:rStyle w:val="Refdenotaderodap"/>
          <w:rFonts w:ascii="Times New Roman" w:hAnsi="Times New Roman"/>
        </w:rPr>
        <w:footnoteRef/>
      </w:r>
      <w:r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CPC, art. 344</w:t>
      </w:r>
      <w:r w:rsidRPr="004643ED">
        <w:rPr>
          <w:rFonts w:ascii="Times New Roman" w:hAnsi="Times New Roman"/>
        </w:rPr>
        <w:t>.</w:t>
      </w:r>
    </w:p>
  </w:footnote>
  <w:footnote w:id="6"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4643ED">
        <w:rPr>
          <w:rStyle w:val="Refdenotaderodap"/>
          <w:rFonts w:ascii="Times New Roman" w:hAnsi="Times New Roman"/>
        </w:rPr>
        <w:footnoteRef/>
      </w:r>
      <w:r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Art. 98.</w:t>
      </w:r>
      <w:r w:rsidRPr="004643ED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4643ED">
        <w:rPr>
          <w:rFonts w:ascii="Times New Roman" w:hAnsi="Times New Roman"/>
        </w:rPr>
        <w:t>as custas</w:t>
      </w:r>
      <w:proofErr w:type="gramEnd"/>
      <w:r w:rsidRPr="004643ED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4643ED">
        <w:rPr>
          <w:rFonts w:ascii="Times New Roman" w:hAnsi="Times New Roman"/>
          <w:b/>
        </w:rPr>
        <w:t>Art. 99</w:t>
      </w:r>
      <w:r w:rsidRPr="004643ED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4643ED">
        <w:rPr>
          <w:rFonts w:ascii="Times New Roman" w:hAnsi="Times New Roman"/>
          <w:b/>
        </w:rPr>
        <w:t>§ 3º</w:t>
      </w:r>
      <w:r w:rsidRPr="004643ED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7">
    <w:p w:rsidR="00040815" w:rsidRPr="004643ED" w:rsidRDefault="00040815" w:rsidP="004643ED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</w:rPr>
      </w:pPr>
      <w:r w:rsidRPr="004643ED">
        <w:rPr>
          <w:rStyle w:val="Refdenotaderodap"/>
          <w:rFonts w:ascii="Times New Roman" w:hAnsi="Times New Roman"/>
        </w:rPr>
        <w:footnoteRef/>
      </w:r>
      <w:r w:rsidRPr="004643ED">
        <w:rPr>
          <w:rFonts w:ascii="Times New Roman" w:hAnsi="Times New Roman"/>
        </w:rPr>
        <w:t xml:space="preserve"> </w:t>
      </w:r>
      <w:r w:rsidRPr="004643ED">
        <w:rPr>
          <w:rFonts w:ascii="Times New Roman" w:hAnsi="Times New Roman"/>
          <w:b/>
        </w:rPr>
        <w:t>CPC, art. 319, VII</w:t>
      </w:r>
      <w:r w:rsidRPr="004643ED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C"/>
    <w:rsid w:val="00040815"/>
    <w:rsid w:val="000B5972"/>
    <w:rsid w:val="0016191F"/>
    <w:rsid w:val="001A2734"/>
    <w:rsid w:val="001C7253"/>
    <w:rsid w:val="003D2D01"/>
    <w:rsid w:val="003D599E"/>
    <w:rsid w:val="004643ED"/>
    <w:rsid w:val="005C0ADB"/>
    <w:rsid w:val="005D4CB2"/>
    <w:rsid w:val="00603588"/>
    <w:rsid w:val="006E6D2B"/>
    <w:rsid w:val="00867A48"/>
    <w:rsid w:val="009F5315"/>
    <w:rsid w:val="00BB4D70"/>
    <w:rsid w:val="00C13D3A"/>
    <w:rsid w:val="00C21A85"/>
    <w:rsid w:val="00C74C80"/>
    <w:rsid w:val="00DF5346"/>
    <w:rsid w:val="00E5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E56CDC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56CD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E56C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CDC"/>
    <w:rPr>
      <w:rFonts w:cs="Times New Roman"/>
      <w:b/>
      <w:bCs/>
      <w:w w:val="100"/>
    </w:rPr>
  </w:style>
  <w:style w:type="paragraph" w:customStyle="1" w:styleId="Texto">
    <w:name w:val="Texto"/>
    <w:basedOn w:val="Noparagraphstyle"/>
    <w:rsid w:val="00E56CDC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E56CDC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E56CDC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08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081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40815"/>
    <w:rPr>
      <w:vertAlign w:val="superscript"/>
    </w:rPr>
  </w:style>
  <w:style w:type="paragraph" w:styleId="Rodap">
    <w:name w:val="footer"/>
    <w:basedOn w:val="Normal"/>
    <w:link w:val="RodapChar"/>
    <w:uiPriority w:val="99"/>
    <w:rsid w:val="00040815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0408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E56CDC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56CD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E56C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CDC"/>
    <w:rPr>
      <w:rFonts w:cs="Times New Roman"/>
      <w:b/>
      <w:bCs/>
      <w:w w:val="100"/>
    </w:rPr>
  </w:style>
  <w:style w:type="paragraph" w:customStyle="1" w:styleId="Texto">
    <w:name w:val="Texto"/>
    <w:basedOn w:val="Noparagraphstyle"/>
    <w:rsid w:val="00E56CDC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E56CDC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E56CDC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08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081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40815"/>
    <w:rPr>
      <w:vertAlign w:val="superscript"/>
    </w:rPr>
  </w:style>
  <w:style w:type="paragraph" w:styleId="Rodap">
    <w:name w:val="footer"/>
    <w:basedOn w:val="Normal"/>
    <w:link w:val="RodapChar"/>
    <w:uiPriority w:val="99"/>
    <w:rsid w:val="00040815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0408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2020-06-29T20:37:00Z</dcterms:created>
  <dcterms:modified xsi:type="dcterms:W3CDTF">2020-07-13T15:42:00Z</dcterms:modified>
</cp:coreProperties>
</file>