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3" w:rsidRPr="00895CB3" w:rsidRDefault="00895CB3" w:rsidP="00895CB3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895CB3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21402" w:rsidRDefault="00021402" w:rsidP="00895CB3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895CB3">
        <w:rPr>
          <w:rFonts w:ascii="Arial Black" w:hAnsi="Arial Black" w:cs="Times New Roman"/>
          <w:color w:val="auto"/>
          <w:sz w:val="24"/>
          <w:szCs w:val="24"/>
        </w:rPr>
        <w:t>ACIDENTE DE TRÂNSITO</w:t>
      </w:r>
      <w:r w:rsidR="007840C7" w:rsidRPr="00895CB3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895CB3">
        <w:rPr>
          <w:rFonts w:ascii="Arial Black" w:hAnsi="Arial Black" w:cs="Times New Roman"/>
          <w:color w:val="auto"/>
          <w:sz w:val="24"/>
          <w:szCs w:val="24"/>
        </w:rPr>
        <w:t xml:space="preserve">DANOS MATERIAIS. </w:t>
      </w:r>
      <w:r w:rsidR="007840C7" w:rsidRPr="00895CB3">
        <w:rPr>
          <w:rFonts w:ascii="Arial Black" w:hAnsi="Arial Black" w:cs="Times New Roman"/>
          <w:color w:val="auto"/>
          <w:sz w:val="24"/>
          <w:szCs w:val="24"/>
        </w:rPr>
        <w:t>ORÇAMENTOS</w:t>
      </w:r>
      <w:r w:rsidRPr="00895CB3">
        <w:rPr>
          <w:rFonts w:ascii="Arial Black" w:hAnsi="Arial Black" w:cs="Times New Roman"/>
          <w:sz w:val="24"/>
          <w:szCs w:val="24"/>
        </w:rPr>
        <w:t>. INICIAL</w:t>
      </w:r>
    </w:p>
    <w:p w:rsidR="005C402C" w:rsidRDefault="005C402C" w:rsidP="005C402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1F7" w:rsidRPr="005521F7" w:rsidRDefault="00021402" w:rsidP="00895CB3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val="single" w:color="000000"/>
        </w:rPr>
      </w:pPr>
      <w:r w:rsidRPr="005521F7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5521F7" w:rsidRPr="005521F7">
        <w:rPr>
          <w:rFonts w:ascii="Times New Roman" w:hAnsi="Times New Roman" w:cs="Times New Roman"/>
          <w:caps/>
          <w:sz w:val="24"/>
          <w:szCs w:val="24"/>
        </w:rPr>
        <w:t>:</w:t>
      </w: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- Súmula 387- (STJ) “</w:t>
      </w:r>
      <w:r w:rsidRPr="00021402">
        <w:rPr>
          <w:rFonts w:ascii="Times New Roman" w:hAnsi="Times New Roman" w:cs="Times New Roman"/>
          <w:i/>
          <w:color w:val="auto"/>
          <w:sz w:val="24"/>
          <w:szCs w:val="24"/>
          <w:u w:color="000000"/>
        </w:rPr>
        <w:t>É lícita a cumulação das indenizações de dano estético e dano moral</w:t>
      </w:r>
      <w:r>
        <w:rPr>
          <w:rFonts w:ascii="Times New Roman" w:hAnsi="Times New Roman" w:cs="Times New Roman"/>
          <w:color w:val="auto"/>
          <w:sz w:val="24"/>
          <w:szCs w:val="24"/>
          <w:u w:color="000000"/>
        </w:rPr>
        <w:t>”</w:t>
      </w:r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- </w:t>
      </w:r>
      <w:proofErr w:type="spellStart"/>
      <w:proofErr w:type="gramStart"/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>DJe</w:t>
      </w:r>
      <w:proofErr w:type="spellEnd"/>
      <w:proofErr w:type="gramEnd"/>
      <w:r w:rsidRPr="006E17A9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01/09/2009</w:t>
      </w:r>
    </w:p>
    <w:p w:rsidR="005521F7" w:rsidRPr="006E17A9" w:rsidRDefault="00021402" w:rsidP="00895CB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Os danos materiais são os que afetam econômica e financeiramente o patrimônio da vítima, de fácil determinação, podendo ser emergentes ou por meio dos lucros cessantes.</w:t>
      </w:r>
    </w:p>
    <w:p w:rsidR="005521F7" w:rsidRPr="006E17A9" w:rsidRDefault="00021402" w:rsidP="00895CB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 desvalorização do veículo é um dano material e pode ser pedida sua reparação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cumuladamente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com outros pleitos.</w:t>
      </w:r>
    </w:p>
    <w:p w:rsidR="005521F7" w:rsidRPr="006E17A9" w:rsidRDefault="00021402" w:rsidP="00895CB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A prova incumbe ao autor quanto ao fato constitutivo do seu direito; e ao réu, quanto à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existência de fato impeditivo, modificativo ou extintivo d</w:t>
      </w:r>
      <w:r w:rsidR="005521F7">
        <w:rPr>
          <w:rFonts w:ascii="Times New Roman" w:hAnsi="Times New Roman" w:cs="Times New Roman"/>
          <w:sz w:val="24"/>
          <w:szCs w:val="24"/>
        </w:rPr>
        <w:t>o direito do autor</w:t>
      </w:r>
      <w:proofErr w:type="gramEnd"/>
      <w:r w:rsidR="005521F7">
        <w:rPr>
          <w:rFonts w:ascii="Times New Roman" w:hAnsi="Times New Roman" w:cs="Times New Roman"/>
          <w:sz w:val="24"/>
          <w:szCs w:val="24"/>
        </w:rPr>
        <w:t xml:space="preserve"> (CPC, art. 37</w:t>
      </w:r>
      <w:r w:rsidRPr="006E17A9">
        <w:rPr>
          <w:rFonts w:ascii="Times New Roman" w:hAnsi="Times New Roman" w:cs="Times New Roman"/>
          <w:sz w:val="24"/>
          <w:szCs w:val="24"/>
        </w:rPr>
        <w:t>3).</w:t>
      </w:r>
    </w:p>
    <w:p w:rsidR="00021402" w:rsidRDefault="00021402" w:rsidP="00895CB3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Na responsabilidade civil são mais comuns as seguintes provas: depoimento pessoal, documental, testemunhal e pericial (específica para o caso concreto).</w:t>
      </w:r>
    </w:p>
    <w:p w:rsidR="005521F7" w:rsidRPr="006E17A9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402" w:rsidRPr="006E17A9" w:rsidRDefault="007160E4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Juiz de Direito d</w:t>
      </w:r>
      <w:r w:rsidRPr="006E1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Vara Cível da 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5521F7" w:rsidRPr="006E17A9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402" w:rsidRPr="006E17A9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 w:rsidR="007160E4">
        <w:rPr>
          <w:rFonts w:ascii="Times New Roman" w:hAnsi="Times New Roman" w:cs="Times New Roman"/>
          <w:sz w:val="24"/>
          <w:szCs w:val="24"/>
        </w:rPr>
        <w:t>, endereço e CPF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021402" w:rsidRPr="006E17A9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="00021402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021402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021402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021402" w:rsidRPr="006E17A9">
        <w:rPr>
          <w:rFonts w:ascii="Times New Roman" w:hAnsi="Times New Roman" w:cs="Times New Roman"/>
          <w:sz w:val="24"/>
          <w:szCs w:val="24"/>
        </w:rPr>
        <w:t>instrumento de procuração em anexo (doc. n. ...), vem, respeitosamente, com fulcro 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1402" w:rsidRPr="006E17A9">
        <w:rPr>
          <w:rFonts w:ascii="Times New Roman" w:hAnsi="Times New Roman" w:cs="Times New Roman"/>
          <w:sz w:val="24"/>
          <w:szCs w:val="24"/>
        </w:rPr>
        <w:t xml:space="preserve"> art</w:t>
      </w:r>
      <w:r>
        <w:rPr>
          <w:rFonts w:ascii="Times New Roman" w:hAnsi="Times New Roman" w:cs="Times New Roman"/>
          <w:sz w:val="24"/>
          <w:szCs w:val="24"/>
        </w:rPr>
        <w:t xml:space="preserve">igos </w:t>
      </w:r>
      <w:r w:rsidRPr="002D4E1A">
        <w:rPr>
          <w:rFonts w:ascii="Times New Roman" w:hAnsi="Times New Roman" w:cs="Times New Roman"/>
          <w:sz w:val="24"/>
          <w:szCs w:val="24"/>
        </w:rPr>
        <w:t>319 e 320 do Código de Processo Civil</w:t>
      </w:r>
      <w:r w:rsidRPr="002D4E1A">
        <w:rPr>
          <w:rFonts w:ascii="Times New Roman" w:hAnsi="Times New Roman" w:cs="Times New Roman"/>
          <w:sz w:val="24"/>
          <w:vertAlign w:val="superscript"/>
        </w:rPr>
        <w:footnoteReference w:id="2"/>
      </w:r>
      <w:r w:rsidR="00021402" w:rsidRPr="006E17A9">
        <w:rPr>
          <w:rFonts w:ascii="Times New Roman" w:hAnsi="Times New Roman" w:cs="Times New Roman"/>
          <w:sz w:val="24"/>
          <w:szCs w:val="24"/>
        </w:rPr>
        <w:t xml:space="preserve"> e art. 927 do Código Civil</w:t>
      </w:r>
      <w:r w:rsidR="00021402" w:rsidRPr="006E17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021402" w:rsidRPr="006E17A9">
        <w:rPr>
          <w:rFonts w:ascii="Times New Roman" w:hAnsi="Times New Roman" w:cs="Times New Roman"/>
          <w:sz w:val="24"/>
          <w:szCs w:val="24"/>
        </w:rPr>
        <w:t xml:space="preserve">, promover a presente </w:t>
      </w:r>
      <w:r w:rsidR="00021402" w:rsidRPr="006E17A9">
        <w:rPr>
          <w:rFonts w:ascii="Times New Roman" w:hAnsi="Times New Roman" w:cs="Times New Roman"/>
          <w:bCs/>
          <w:sz w:val="24"/>
          <w:szCs w:val="24"/>
        </w:rPr>
        <w:t xml:space="preserve">AÇÃO ORDINÁRIA DE INDENIZAÇÃO POR ATO ILÍCITO </w:t>
      </w:r>
      <w:r w:rsidR="00021402" w:rsidRPr="006E17A9">
        <w:rPr>
          <w:rFonts w:ascii="Times New Roman" w:hAnsi="Times New Roman" w:cs="Times New Roman"/>
          <w:sz w:val="24"/>
          <w:szCs w:val="24"/>
        </w:rPr>
        <w:t>contra 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021402" w:rsidRPr="006E17A9">
        <w:rPr>
          <w:rFonts w:ascii="Times New Roman" w:hAnsi="Times New Roman" w:cs="Times New Roman"/>
          <w:sz w:val="24"/>
          <w:szCs w:val="24"/>
        </w:rPr>
        <w:t>), pelas razões de fato e direito adiante articuladas:</w:t>
      </w:r>
    </w:p>
    <w:p w:rsidR="00021402" w:rsidRPr="006E17A9" w:rsidRDefault="00021402" w:rsidP="00895CB3">
      <w:pPr>
        <w:pStyle w:val="Noparagraphstyle"/>
        <w:suppressAutoHyphens/>
        <w:ind w:right="-568"/>
        <w:jc w:val="both"/>
      </w:pP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O autor é proprietário de um veículo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marca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ano/modelo ..., cor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chassi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placas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..., registrado em seu nome no Departamento de Trânsito (doc. n. ...).</w:t>
      </w: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 suplicado, por sua vez, quando dirigia seu veículo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marca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ano/modelo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cor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chassi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n.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placas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..., colidiu com o veículo do autor que se encontrava estacionado na rua ..., abalroando-o em sua traseira, ocasionando danos no mencionado veículo.</w:t>
      </w: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Os danos importam na quantia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>, correspondente ao valor mais baixo dos três (3) orçamentos (doc. n. ...), que são necessários para a recuperação do veículo de propriedade do autor e de modo a restituí-lo em seu estado anterior.</w:t>
      </w: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21402" w:rsidRPr="006E17A9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4. As fotografias anexas também demonstram os danos sofridos no veículo e que devem ser reparados pelo suplicado. A culpa do suplicado é manifesta, por ter o mesmo abalroado o veículo do autor, quando o mesmo se encontrava estacionado na via pública em sua mão de direção. </w:t>
      </w:r>
    </w:p>
    <w:p w:rsidR="00021402" w:rsidRPr="006E17A9" w:rsidRDefault="00021402" w:rsidP="00895CB3">
      <w:pPr>
        <w:pStyle w:val="Noparagraphstyle"/>
        <w:suppressAutoHyphens/>
        <w:ind w:right="-568"/>
        <w:jc w:val="both"/>
      </w:pPr>
    </w:p>
    <w:p w:rsidR="00021402" w:rsidRDefault="00021402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5.</w:t>
      </w:r>
      <w:r w:rsidR="00552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 xml:space="preserve">, </w:t>
      </w:r>
      <w:r w:rsidR="005521F7">
        <w:rPr>
          <w:rFonts w:ascii="Times New Roman" w:hAnsi="Times New Roman" w:cs="Times New Roman"/>
          <w:sz w:val="24"/>
          <w:szCs w:val="24"/>
        </w:rPr>
        <w:t>o autor requer:</w:t>
      </w:r>
    </w:p>
    <w:p w:rsidR="005521F7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521F7" w:rsidRPr="007160E4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60E4">
        <w:rPr>
          <w:rFonts w:ascii="Times New Roman" w:hAnsi="Times New Roman" w:cs="Times New Roman"/>
          <w:sz w:val="24"/>
          <w:szCs w:val="24"/>
        </w:rPr>
        <w:t xml:space="preserve">a) seja julgada PROCEDENTE A AÇÃO </w:t>
      </w:r>
      <w:r w:rsidRPr="007160E4">
        <w:rPr>
          <w:rFonts w:ascii="Times New Roman" w:hAnsi="Times New Roman" w:cs="Times New Roman"/>
          <w:bCs/>
          <w:sz w:val="24"/>
          <w:szCs w:val="24"/>
        </w:rPr>
        <w:t xml:space="preserve">ORDINÁRIA DE INDENIZAÇÃO </w:t>
      </w:r>
      <w:r w:rsidRPr="007160E4">
        <w:rPr>
          <w:rFonts w:ascii="Times New Roman" w:hAnsi="Times New Roman" w:cs="Times New Roman"/>
          <w:sz w:val="24"/>
          <w:szCs w:val="24"/>
        </w:rPr>
        <w:t xml:space="preserve">condenando o réu a indenizar a quantia referente ao valor das despesas com a reparação do veículo, aplicando-se no que for cabível, a respectiva atualização monetária e imposição de juros, tudo desde o evento, além das </w:t>
      </w:r>
      <w:proofErr w:type="gramStart"/>
      <w:r w:rsidRPr="007160E4">
        <w:rPr>
          <w:rFonts w:ascii="Times New Roman" w:hAnsi="Times New Roman" w:cs="Times New Roman"/>
          <w:sz w:val="24"/>
          <w:szCs w:val="24"/>
        </w:rPr>
        <w:t>custas processuais e honorários advocatícios</w:t>
      </w:r>
      <w:proofErr w:type="gramEnd"/>
      <w:r w:rsidRPr="00716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1F7" w:rsidRPr="007160E4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521F7" w:rsidRPr="007160E4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60E4">
        <w:rPr>
          <w:rFonts w:ascii="Times New Roman" w:hAnsi="Times New Roman" w:cs="Times New Roman"/>
          <w:sz w:val="24"/>
          <w:szCs w:val="24"/>
        </w:rPr>
        <w:t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caput e §8º)</w:t>
      </w:r>
      <w:r w:rsidRPr="007160E4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Pr="007160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60E4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7160E4">
        <w:rPr>
          <w:rFonts w:ascii="Times New Roman" w:hAnsi="Times New Roman" w:cs="Times New Roman"/>
          <w:sz w:val="24"/>
          <w:szCs w:val="24"/>
        </w:rPr>
        <w:t xml:space="preserve"> de multa de até dois por cento da vantagem econômica pretendida ou do valor da causa;</w:t>
      </w:r>
    </w:p>
    <w:p w:rsidR="005521F7" w:rsidRPr="007160E4" w:rsidRDefault="005521F7" w:rsidP="00895CB3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5521F7" w:rsidRPr="007160E4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60E4">
        <w:rPr>
          <w:rFonts w:ascii="Times New Roman" w:hAnsi="Times New Roman" w:cs="Times New Roman"/>
          <w:sz w:val="24"/>
          <w:szCs w:val="24"/>
        </w:rPr>
        <w:t>c)</w:t>
      </w:r>
      <w:r w:rsidRPr="007160E4">
        <w:t xml:space="preserve"> </w:t>
      </w:r>
      <w:r w:rsidRPr="007160E4">
        <w:rPr>
          <w:rFonts w:ascii="Times New Roman" w:hAnsi="Times New Roman" w:cs="Times New Roman"/>
          <w:sz w:val="24"/>
          <w:szCs w:val="24"/>
        </w:rPr>
        <w:t xml:space="preserve">a produção de prova documental, testemunhal, pericial, e, especialmente, o depoimento pessoal do réu, </w:t>
      </w:r>
      <w:proofErr w:type="gramStart"/>
      <w:r w:rsidRPr="007160E4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7160E4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5521F7" w:rsidRPr="007160E4" w:rsidRDefault="005521F7" w:rsidP="00895CB3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</w:p>
    <w:p w:rsidR="005521F7" w:rsidRPr="007160E4" w:rsidRDefault="005521F7" w:rsidP="00895CB3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7160E4">
        <w:rPr>
          <w:rFonts w:ascii="Times New Roman" w:hAnsi="Times New Roman" w:cs="Times New Roman"/>
          <w:sz w:val="24"/>
          <w:szCs w:val="24"/>
        </w:rPr>
        <w:t xml:space="preserve">d) </w:t>
      </w:r>
      <w:r w:rsidRPr="007160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7160E4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7160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Pr="007160E4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5"/>
      </w:r>
      <w:r w:rsidRPr="007160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7160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7160E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ora anexada (doc. n. ...);</w:t>
      </w:r>
    </w:p>
    <w:p w:rsidR="005521F7" w:rsidRPr="007160E4" w:rsidRDefault="005521F7" w:rsidP="00895CB3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5521F7" w:rsidRPr="007160E4" w:rsidRDefault="005521F7" w:rsidP="00895CB3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7160E4">
        <w:rPr>
          <w:color w:val="000000"/>
        </w:rPr>
        <w:t xml:space="preserve">Valor da causa: </w:t>
      </w:r>
      <w:proofErr w:type="gramStart"/>
      <w:r w:rsidRPr="007160E4">
        <w:rPr>
          <w:color w:val="000000"/>
        </w:rPr>
        <w:t>R$ ...</w:t>
      </w:r>
      <w:proofErr w:type="gramEnd"/>
      <w:r w:rsidRPr="007160E4">
        <w:rPr>
          <w:color w:val="000000"/>
        </w:rPr>
        <w:t xml:space="preserve"> (...</w:t>
      </w:r>
      <w:proofErr w:type="gramStart"/>
      <w:r w:rsidRPr="007160E4">
        <w:rPr>
          <w:color w:val="000000"/>
        </w:rPr>
        <w:t>)</w:t>
      </w:r>
      <w:proofErr w:type="gramEnd"/>
      <w:r w:rsidRPr="007160E4">
        <w:rPr>
          <w:color w:val="000000"/>
          <w:vertAlign w:val="superscript"/>
        </w:rPr>
        <w:footnoteReference w:id="6"/>
      </w:r>
    </w:p>
    <w:p w:rsidR="005521F7" w:rsidRPr="002603CA" w:rsidRDefault="005521F7" w:rsidP="00895CB3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</w:p>
    <w:p w:rsidR="005521F7" w:rsidRPr="002603CA" w:rsidRDefault="005521F7" w:rsidP="00895CB3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P. Deferimento.</w:t>
      </w:r>
    </w:p>
    <w:p w:rsidR="005521F7" w:rsidRPr="002603CA" w:rsidRDefault="005521F7" w:rsidP="00895CB3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  <w:rPr>
          <w:color w:val="000000"/>
        </w:rPr>
      </w:pPr>
      <w:r w:rsidRPr="002603CA">
        <w:rPr>
          <w:color w:val="000000"/>
        </w:rPr>
        <w:t>(Local e data)</w:t>
      </w:r>
    </w:p>
    <w:p w:rsidR="005521F7" w:rsidRPr="002603CA" w:rsidRDefault="005521F7" w:rsidP="00895CB3">
      <w:pPr>
        <w:suppressAutoHyphens/>
        <w:autoSpaceDE w:val="0"/>
        <w:autoSpaceDN w:val="0"/>
        <w:adjustRightInd w:val="0"/>
        <w:spacing w:line="250" w:lineRule="atLeast"/>
        <w:ind w:right="-568"/>
        <w:jc w:val="center"/>
        <w:textAlignment w:val="center"/>
      </w:pPr>
      <w:r w:rsidRPr="002603CA">
        <w:rPr>
          <w:color w:val="000000"/>
        </w:rPr>
        <w:t>(Assinatura e OAB do Advogado)</w:t>
      </w:r>
    </w:p>
    <w:p w:rsidR="00021402" w:rsidRPr="006E17A9" w:rsidRDefault="00021402" w:rsidP="00895CB3">
      <w:pPr>
        <w:pStyle w:val="Noparagraphstyle"/>
        <w:suppressAutoHyphens/>
        <w:ind w:right="-568"/>
      </w:pPr>
    </w:p>
    <w:p w:rsidR="009F5315" w:rsidRDefault="009F5315" w:rsidP="00895CB3">
      <w:pPr>
        <w:ind w:right="-568"/>
      </w:pPr>
    </w:p>
    <w:p w:rsidR="00895CB3" w:rsidRDefault="00895CB3">
      <w:pPr>
        <w:ind w:right="-568"/>
      </w:pPr>
    </w:p>
    <w:sectPr w:rsidR="00895CB3" w:rsidSect="00153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A0" w:rsidRDefault="00F573A0" w:rsidP="00021402">
      <w:r>
        <w:separator/>
      </w:r>
    </w:p>
  </w:endnote>
  <w:endnote w:type="continuationSeparator" w:id="0">
    <w:p w:rsidR="00F573A0" w:rsidRDefault="00F573A0" w:rsidP="0002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A0" w:rsidRDefault="00F573A0" w:rsidP="00021402">
      <w:r>
        <w:separator/>
      </w:r>
    </w:p>
  </w:footnote>
  <w:footnote w:type="continuationSeparator" w:id="0">
    <w:p w:rsidR="00F573A0" w:rsidRDefault="00F573A0" w:rsidP="00021402">
      <w:r>
        <w:continuationSeparator/>
      </w:r>
    </w:p>
  </w:footnote>
  <w:footnote w:id="1"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Style w:val="Refdenotaderodap"/>
          <w:rFonts w:ascii="Times New Roman" w:hAnsi="Times New Roman"/>
        </w:rPr>
        <w:footnoteRef/>
      </w:r>
      <w:r w:rsidRPr="00895CB3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895CB3">
        <w:rPr>
          <w:rFonts w:ascii="Times New Roman" w:hAnsi="Times New Roman"/>
        </w:rPr>
        <w:t>a</w:t>
      </w:r>
      <w:proofErr w:type="gramEnd"/>
      <w:r w:rsidRPr="00895CB3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895CB3">
        <w:rPr>
          <w:rFonts w:ascii="Times New Roman" w:hAnsi="Times New Roman"/>
          <w:i/>
        </w:rPr>
        <w:t>residência</w:t>
      </w:r>
      <w:r w:rsidRPr="00895CB3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895CB3">
        <w:rPr>
          <w:rFonts w:ascii="Times New Roman" w:hAnsi="Times New Roman"/>
        </w:rPr>
        <w:t>Exigi-se</w:t>
      </w:r>
      <w:proofErr w:type="spellEnd"/>
      <w:r w:rsidRPr="00895CB3">
        <w:rPr>
          <w:rFonts w:ascii="Times New Roman" w:hAnsi="Times New Roman"/>
        </w:rPr>
        <w:t xml:space="preserve"> o intuito de permanência. Já o </w:t>
      </w:r>
      <w:r w:rsidRPr="00895CB3">
        <w:rPr>
          <w:rFonts w:ascii="Times New Roman" w:hAnsi="Times New Roman"/>
          <w:i/>
        </w:rPr>
        <w:t>domicílio</w:t>
      </w:r>
      <w:r w:rsidRPr="00895CB3">
        <w:rPr>
          <w:rFonts w:ascii="Times New Roman" w:hAnsi="Times New Roman"/>
        </w:rPr>
        <w:t xml:space="preserve">, conforme a definição dos </w:t>
      </w:r>
      <w:proofErr w:type="spellStart"/>
      <w:r w:rsidRPr="00895CB3">
        <w:rPr>
          <w:rFonts w:ascii="Times New Roman" w:hAnsi="Times New Roman"/>
        </w:rPr>
        <w:t>arts</w:t>
      </w:r>
      <w:proofErr w:type="spellEnd"/>
      <w:r w:rsidRPr="00895CB3">
        <w:rPr>
          <w:rFonts w:ascii="Times New Roman" w:hAnsi="Times New Roman"/>
        </w:rPr>
        <w:t xml:space="preserve">. 70 </w:t>
      </w:r>
      <w:proofErr w:type="spellStart"/>
      <w:r w:rsidRPr="00895CB3">
        <w:rPr>
          <w:rFonts w:ascii="Times New Roman" w:hAnsi="Times New Roman"/>
          <w:i/>
        </w:rPr>
        <w:t>usque</w:t>
      </w:r>
      <w:proofErr w:type="spellEnd"/>
      <w:r w:rsidRPr="00895CB3">
        <w:rPr>
          <w:rFonts w:ascii="Times New Roman" w:hAnsi="Times New Roman"/>
          <w:i/>
        </w:rPr>
        <w:t xml:space="preserve"> </w:t>
      </w:r>
      <w:r w:rsidRPr="00895CB3">
        <w:rPr>
          <w:rFonts w:ascii="Times New Roman" w:hAnsi="Times New Roman"/>
        </w:rPr>
        <w:t xml:space="preserve">78, para pessoas físicas ou jurídicas, </w:t>
      </w:r>
      <w:proofErr w:type="gramStart"/>
      <w:r w:rsidRPr="00895CB3">
        <w:rPr>
          <w:rFonts w:ascii="Times New Roman" w:hAnsi="Times New Roman"/>
        </w:rPr>
        <w:t>é conceituado</w:t>
      </w:r>
      <w:proofErr w:type="gramEnd"/>
      <w:r w:rsidRPr="00895CB3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2"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Style w:val="Refdenotaderodap"/>
          <w:rFonts w:ascii="Times New Roman" w:hAnsi="Times New Roman"/>
        </w:rPr>
        <w:footnoteRef/>
      </w:r>
      <w:r w:rsidRPr="00895CB3">
        <w:rPr>
          <w:rFonts w:ascii="Times New Roman" w:hAnsi="Times New Roman"/>
          <w:b/>
        </w:rPr>
        <w:t>Art. 320</w:t>
      </w:r>
      <w:r w:rsidRPr="00895CB3">
        <w:rPr>
          <w:rFonts w:ascii="Times New Roman" w:hAnsi="Times New Roman"/>
        </w:rPr>
        <w:t>.  A petição inicial será instruída com os documentos indispensáveis à propositura da ação.</w:t>
      </w:r>
    </w:p>
  </w:footnote>
  <w:footnote w:id="3">
    <w:p w:rsidR="00021402" w:rsidRPr="00895CB3" w:rsidRDefault="00021402" w:rsidP="00895CB3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  <w:r w:rsidRPr="00895CB3">
        <w:rPr>
          <w:sz w:val="20"/>
          <w:szCs w:val="20"/>
          <w:vertAlign w:val="superscript"/>
        </w:rPr>
        <w:footnoteRef/>
      </w:r>
      <w:r w:rsidRPr="00895CB3">
        <w:rPr>
          <w:b/>
          <w:bCs/>
          <w:sz w:val="20"/>
          <w:szCs w:val="20"/>
        </w:rPr>
        <w:t>Art. 927.</w:t>
      </w:r>
      <w:r w:rsidRPr="00895CB3">
        <w:rPr>
          <w:sz w:val="20"/>
          <w:szCs w:val="20"/>
        </w:rPr>
        <w:t xml:space="preserve"> Aquele que, por ato ilícito (</w:t>
      </w:r>
      <w:proofErr w:type="spellStart"/>
      <w:r w:rsidRPr="00895CB3">
        <w:rPr>
          <w:sz w:val="20"/>
          <w:szCs w:val="20"/>
        </w:rPr>
        <w:t>arts</w:t>
      </w:r>
      <w:proofErr w:type="spellEnd"/>
      <w:r w:rsidRPr="00895CB3">
        <w:rPr>
          <w:sz w:val="20"/>
          <w:szCs w:val="20"/>
        </w:rPr>
        <w:t xml:space="preserve">. 186 e 187), causar dano a outrem, fica obrigado a repará-lo. </w:t>
      </w:r>
      <w:r w:rsidRPr="00895CB3">
        <w:rPr>
          <w:b/>
          <w:sz w:val="20"/>
          <w:szCs w:val="20"/>
        </w:rPr>
        <w:t>Parágrafo único.</w:t>
      </w:r>
      <w:r w:rsidRPr="00895CB3">
        <w:rPr>
          <w:sz w:val="20"/>
          <w:szCs w:val="20"/>
        </w:rPr>
        <w:t xml:space="preserve"> Haverá obrigação de reparar o dano, independentemente de culpa, nos casos especificados em lei, ou quando a atividade normalmente desenvolvida pelo autor do dano implicar, por sua natureza, risco para os direitos de outrem.</w:t>
      </w:r>
    </w:p>
    <w:p w:rsidR="00021402" w:rsidRPr="00895CB3" w:rsidRDefault="00021402" w:rsidP="00895CB3">
      <w:pPr>
        <w:pStyle w:val="Rodap"/>
        <w:tabs>
          <w:tab w:val="clear" w:pos="8504"/>
          <w:tab w:val="right" w:pos="9356"/>
        </w:tabs>
        <w:ind w:right="-568"/>
        <w:jc w:val="both"/>
        <w:rPr>
          <w:sz w:val="20"/>
          <w:szCs w:val="20"/>
        </w:rPr>
      </w:pPr>
    </w:p>
  </w:footnote>
  <w:footnote w:id="4"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Style w:val="Refdenotaderodap"/>
          <w:rFonts w:ascii="Times New Roman" w:hAnsi="Times New Roman"/>
        </w:rPr>
        <w:footnoteRef/>
      </w:r>
      <w:r w:rsidRPr="00895CB3">
        <w:rPr>
          <w:rFonts w:ascii="Times New Roman" w:hAnsi="Times New Roman"/>
        </w:rPr>
        <w:t xml:space="preserve"> </w:t>
      </w:r>
      <w:r w:rsidRPr="00895CB3">
        <w:rPr>
          <w:rFonts w:ascii="Times New Roman" w:hAnsi="Times New Roman"/>
          <w:b/>
        </w:rPr>
        <w:t>CPC. Art. 319,</w:t>
      </w:r>
      <w:proofErr w:type="gramStart"/>
      <w:r w:rsidRPr="00895CB3">
        <w:rPr>
          <w:rFonts w:ascii="Times New Roman" w:hAnsi="Times New Roman"/>
        </w:rPr>
        <w:t xml:space="preserve">  </w:t>
      </w:r>
      <w:proofErr w:type="gramEnd"/>
      <w:r w:rsidRPr="00895CB3">
        <w:rPr>
          <w:rFonts w:ascii="Times New Roman" w:hAnsi="Times New Roman"/>
          <w:b/>
        </w:rPr>
        <w:t>VII.</w:t>
      </w:r>
    </w:p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Fonts w:ascii="Times New Roman" w:eastAsia="Times New Roman" w:hAnsi="Times New Roman"/>
          <w:b/>
          <w:lang w:eastAsia="pt-BR"/>
        </w:rPr>
        <w:t>Art. 334.</w:t>
      </w:r>
      <w:r w:rsidRPr="00895CB3">
        <w:rPr>
          <w:rFonts w:ascii="Times New Roman" w:eastAsia="Times New Roman" w:hAnsi="Times New Roman"/>
          <w:lang w:eastAsia="pt-BR"/>
        </w:rPr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  <w:footnote w:id="5"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Style w:val="Refdenotaderodap"/>
          <w:rFonts w:ascii="Times New Roman" w:hAnsi="Times New Roman"/>
        </w:rPr>
        <w:footnoteRef/>
      </w:r>
      <w:r w:rsidRPr="00895CB3">
        <w:rPr>
          <w:rFonts w:ascii="Times New Roman" w:hAnsi="Times New Roman"/>
        </w:rPr>
        <w:t xml:space="preserve"> </w:t>
      </w:r>
      <w:r w:rsidRPr="00895CB3">
        <w:rPr>
          <w:rFonts w:ascii="Times New Roman" w:hAnsi="Times New Roman"/>
          <w:b/>
        </w:rPr>
        <w:t>Art. 98.</w:t>
      </w:r>
      <w:r w:rsidRPr="00895CB3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895CB3">
        <w:rPr>
          <w:rFonts w:ascii="Times New Roman" w:hAnsi="Times New Roman"/>
        </w:rPr>
        <w:t>as custas</w:t>
      </w:r>
      <w:proofErr w:type="gramEnd"/>
      <w:r w:rsidRPr="00895CB3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Fonts w:ascii="Times New Roman" w:hAnsi="Times New Roman"/>
          <w:b/>
        </w:rPr>
        <w:t>Art. 99</w:t>
      </w:r>
      <w:r w:rsidRPr="00895CB3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895CB3">
        <w:rPr>
          <w:rFonts w:ascii="Times New Roman" w:hAnsi="Times New Roman"/>
          <w:b/>
        </w:rPr>
        <w:t>§ 3º</w:t>
      </w:r>
      <w:r w:rsidRPr="00895CB3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  <w:footnote w:id="6">
    <w:p w:rsidR="005521F7" w:rsidRPr="00895CB3" w:rsidRDefault="005521F7" w:rsidP="00895CB3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895CB3">
        <w:rPr>
          <w:rStyle w:val="Refdenotaderodap"/>
          <w:rFonts w:ascii="Times New Roman" w:hAnsi="Times New Roman"/>
        </w:rPr>
        <w:footnoteRef/>
      </w:r>
      <w:r w:rsidRPr="00895CB3">
        <w:rPr>
          <w:rFonts w:ascii="Times New Roman" w:hAnsi="Times New Roman"/>
        </w:rPr>
        <w:t xml:space="preserve"> O valor da causa será o correspondente ao do contrato que se almeja seja cumprido, </w:t>
      </w:r>
      <w:proofErr w:type="spellStart"/>
      <w:r w:rsidRPr="00895CB3">
        <w:rPr>
          <w:rFonts w:ascii="Times New Roman" w:hAnsi="Times New Roman"/>
          <w:i/>
        </w:rPr>
        <w:t>ex</w:t>
      </w:r>
      <w:proofErr w:type="spellEnd"/>
      <w:r w:rsidRPr="00895CB3">
        <w:rPr>
          <w:rFonts w:ascii="Times New Roman" w:hAnsi="Times New Roman"/>
          <w:i/>
        </w:rPr>
        <w:t xml:space="preserve"> vi</w:t>
      </w:r>
      <w:r w:rsidRPr="00895CB3">
        <w:rPr>
          <w:rFonts w:ascii="Times New Roman" w:hAnsi="Times New Roman"/>
        </w:rPr>
        <w:t xml:space="preserve"> </w:t>
      </w:r>
      <w:r w:rsidRPr="00895CB3">
        <w:rPr>
          <w:rFonts w:ascii="Times New Roman" w:hAnsi="Times New Roman"/>
          <w:b/>
        </w:rPr>
        <w:t>art. 292, II do CPC</w:t>
      </w:r>
      <w:r w:rsidRPr="00895CB3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02"/>
    <w:rsid w:val="00021402"/>
    <w:rsid w:val="000C2D8B"/>
    <w:rsid w:val="001538FD"/>
    <w:rsid w:val="002755C1"/>
    <w:rsid w:val="005521F7"/>
    <w:rsid w:val="005A4350"/>
    <w:rsid w:val="005C402C"/>
    <w:rsid w:val="007160E4"/>
    <w:rsid w:val="00771D83"/>
    <w:rsid w:val="007840C7"/>
    <w:rsid w:val="00895CB3"/>
    <w:rsid w:val="009F5315"/>
    <w:rsid w:val="00A3153F"/>
    <w:rsid w:val="00AF1F97"/>
    <w:rsid w:val="00CB3BB4"/>
    <w:rsid w:val="00CC6C48"/>
    <w:rsid w:val="00D01ADB"/>
    <w:rsid w:val="00D12681"/>
    <w:rsid w:val="00F573A0"/>
    <w:rsid w:val="00FE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21402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2140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214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1402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021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021402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21402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21402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21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21F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52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21402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2140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214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1402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021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021402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21402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21402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21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21F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52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2020-06-29T19:35:00Z</dcterms:created>
  <dcterms:modified xsi:type="dcterms:W3CDTF">2020-07-13T15:32:00Z</dcterms:modified>
</cp:coreProperties>
</file>