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A" w:rsidRPr="001A67BA" w:rsidRDefault="001A67BA" w:rsidP="001A67BA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A67BA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C51433" w:rsidRDefault="00C51433" w:rsidP="001A67B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1A67BA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EC5BA1" w:rsidRPr="001A67BA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1A67BA">
        <w:rPr>
          <w:rFonts w:ascii="Arial Black" w:hAnsi="Arial Black" w:cs="Times New Roman"/>
          <w:sz w:val="24"/>
          <w:szCs w:val="24"/>
        </w:rPr>
        <w:t>DANOS FÍSICOS À VÍTIMA. INICIAL</w:t>
      </w:r>
    </w:p>
    <w:p w:rsidR="003D67F5" w:rsidRDefault="003D67F5" w:rsidP="003D67F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EC5BA1" w:rsidRPr="00C51433" w:rsidRDefault="00EC5BA1" w:rsidP="003D67F5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  <w:bookmarkStart w:id="0" w:name="_GoBack"/>
      <w:bookmarkEnd w:id="0"/>
    </w:p>
    <w:p w:rsidR="00AE0379" w:rsidRPr="006E17A9" w:rsidRDefault="00C51433" w:rsidP="001A67BA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  <w:r w:rsidRPr="00AE0379">
        <w:rPr>
          <w:rFonts w:ascii="Times New Roman" w:hAnsi="Times New Roman" w:cs="Times New Roman"/>
          <w:color w:val="auto"/>
          <w:sz w:val="24"/>
          <w:szCs w:val="24"/>
          <w:u w:val="single"/>
        </w:rPr>
        <w:t>COMENTÁRIOS</w:t>
      </w:r>
      <w:r w:rsidR="00AE03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0281B" w:rsidRDefault="00EC5BA1" w:rsidP="001A67BA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- Súmula 387</w:t>
      </w:r>
      <w:r w:rsidR="00C5143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(STJ)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:</w:t>
      </w:r>
      <w:r w:rsidR="00C5143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“</w:t>
      </w:r>
      <w:r w:rsidR="00C51433" w:rsidRPr="00C51433">
        <w:rPr>
          <w:rFonts w:ascii="Times New Roman" w:hAnsi="Times New Roman" w:cs="Times New Roman"/>
          <w:i/>
          <w:color w:val="auto"/>
          <w:sz w:val="24"/>
          <w:szCs w:val="24"/>
          <w:u w:color="000000"/>
        </w:rPr>
        <w:t xml:space="preserve">É lícita </w:t>
      </w:r>
      <w:proofErr w:type="gramStart"/>
      <w:r w:rsidR="00C51433" w:rsidRPr="00C51433">
        <w:rPr>
          <w:rFonts w:ascii="Times New Roman" w:hAnsi="Times New Roman" w:cs="Times New Roman"/>
          <w:i/>
          <w:color w:val="auto"/>
          <w:sz w:val="24"/>
          <w:szCs w:val="24"/>
          <w:u w:color="000000"/>
        </w:rPr>
        <w:t>a</w:t>
      </w:r>
      <w:proofErr w:type="gramEnd"/>
      <w:r w:rsidR="00C51433" w:rsidRPr="00C51433">
        <w:rPr>
          <w:rFonts w:ascii="Times New Roman" w:hAnsi="Times New Roman" w:cs="Times New Roman"/>
          <w:i/>
          <w:color w:val="auto"/>
          <w:sz w:val="24"/>
          <w:szCs w:val="24"/>
          <w:u w:color="000000"/>
        </w:rPr>
        <w:t xml:space="preserve"> cumulação das indenizações de dano estético e dano moral</w:t>
      </w:r>
      <w:r w:rsidR="00C51433">
        <w:rPr>
          <w:rFonts w:ascii="Times New Roman" w:hAnsi="Times New Roman" w:cs="Times New Roman"/>
          <w:color w:val="auto"/>
          <w:sz w:val="24"/>
          <w:szCs w:val="24"/>
          <w:u w:color="000000"/>
        </w:rPr>
        <w:t>”</w:t>
      </w:r>
      <w:r w:rsidR="00C51433"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- </w:t>
      </w:r>
      <w:proofErr w:type="spellStart"/>
      <w:r w:rsidR="00C51433"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DJe</w:t>
      </w:r>
      <w:proofErr w:type="spellEnd"/>
      <w:r w:rsidR="00C51433"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01/09/2009</w:t>
      </w:r>
      <w:r w:rsidR="00B0281B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</w:p>
    <w:p w:rsidR="00B0281B" w:rsidRP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>- Expor os fatos com precisão, bem como os fundamentos jurídicos do pedido (CPC, art. 319, III</w:t>
      </w:r>
      <w:proofErr w:type="gramStart"/>
      <w:r w:rsidRPr="00B0281B">
        <w:rPr>
          <w:color w:val="000000"/>
        </w:rPr>
        <w:t>)</w:t>
      </w:r>
      <w:proofErr w:type="gramEnd"/>
      <w:r w:rsidRPr="00B0281B">
        <w:rPr>
          <w:color w:val="000000"/>
          <w:vertAlign w:val="superscript"/>
        </w:rPr>
        <w:footnoteReference w:id="1"/>
      </w:r>
      <w:r w:rsidRPr="00B0281B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B0281B" w:rsidRPr="00AE0379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 xml:space="preserve">- Ainda na </w:t>
      </w:r>
      <w:proofErr w:type="spellStart"/>
      <w:r w:rsidRPr="00B0281B">
        <w:rPr>
          <w:color w:val="000000"/>
        </w:rPr>
        <w:t>proemial</w:t>
      </w:r>
      <w:proofErr w:type="spellEnd"/>
      <w:r w:rsidRPr="00B0281B">
        <w:rPr>
          <w:color w:val="000000"/>
        </w:rPr>
        <w:t xml:space="preserve"> juntar o máximo de documentos para dar calço às alegações.</w:t>
      </w:r>
    </w:p>
    <w:p w:rsidR="00B0281B" w:rsidRP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  <w:spacing w:val="-4"/>
        </w:rPr>
        <w:t>- Pode-se cumular ou alternar o pedido, incluindo outros complementares ou alternativos, respectivamente.</w:t>
      </w:r>
    </w:p>
    <w:p w:rsidR="00B0281B" w:rsidRP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B0281B">
        <w:rPr>
          <w:color w:val="000000"/>
        </w:rPr>
        <w:t>declaratória-constitutiva</w:t>
      </w:r>
      <w:proofErr w:type="gramEnd"/>
      <w:r w:rsidRPr="00B0281B">
        <w:rPr>
          <w:color w:val="000000"/>
        </w:rPr>
        <w:t>.</w:t>
      </w:r>
    </w:p>
    <w:p w:rsidR="00B0281B" w:rsidRP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B0281B" w:rsidRP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>- Para calcular o valor da causa, observar o art. 292 do CPC</w:t>
      </w:r>
      <w:r w:rsidRPr="00B0281B">
        <w:rPr>
          <w:color w:val="000000"/>
          <w:vertAlign w:val="superscript"/>
        </w:rPr>
        <w:footnoteReference w:id="2"/>
      </w:r>
      <w:r w:rsidRPr="00B0281B">
        <w:rPr>
          <w:color w:val="000000"/>
        </w:rPr>
        <w:t>.</w:t>
      </w:r>
    </w:p>
    <w:p w:rsidR="00B0281B" w:rsidRP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 xml:space="preserve">- O procedimento comum aplica-se a toas </w:t>
      </w:r>
      <w:proofErr w:type="gramStart"/>
      <w:r w:rsidRPr="00B0281B">
        <w:rPr>
          <w:color w:val="000000"/>
        </w:rPr>
        <w:t>as</w:t>
      </w:r>
      <w:proofErr w:type="gramEnd"/>
      <w:r w:rsidRPr="00B0281B">
        <w:rPr>
          <w:color w:val="000000"/>
        </w:rPr>
        <w:t xml:space="preserve"> causa quando não for previsto em lei como procedimento especial. </w:t>
      </w:r>
    </w:p>
    <w:p w:rsidR="00B0281B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t xml:space="preserve">- A petição inicial deve seguir as balizas mínimas do </w:t>
      </w:r>
      <w:proofErr w:type="spellStart"/>
      <w:r w:rsidRPr="00B0281B">
        <w:rPr>
          <w:color w:val="000000"/>
        </w:rPr>
        <w:t>arts</w:t>
      </w:r>
      <w:proofErr w:type="spellEnd"/>
      <w:r w:rsidRPr="00B0281B">
        <w:rPr>
          <w:color w:val="000000"/>
        </w:rPr>
        <w:t>. 319 e 320 do CPC.</w:t>
      </w:r>
    </w:p>
    <w:p w:rsidR="00B0281B" w:rsidRPr="00AE0379" w:rsidRDefault="00B0281B" w:rsidP="001A67BA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B0281B">
        <w:rPr>
          <w:color w:val="000000"/>
        </w:rPr>
        <w:lastRenderedPageBreak/>
        <w:t>- Nos termos do inciso VII do art. 319 do CPC, o autor deve na petição inicial informar a opção pela realização ou não da Audiência de Conciliação ou de Mediação. O silêncio, conforme doutrina majoritária</w:t>
      </w:r>
      <w:proofErr w:type="gramStart"/>
      <w:r w:rsidRPr="00B0281B">
        <w:rPr>
          <w:color w:val="000000"/>
        </w:rPr>
        <w:t>, deve</w:t>
      </w:r>
      <w:proofErr w:type="gramEnd"/>
      <w:r w:rsidRPr="00B0281B">
        <w:rPr>
          <w:color w:val="000000"/>
        </w:rPr>
        <w:t xml:space="preserve"> ser interpretado pela vontade de se realizar a audiência.</w:t>
      </w: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51433" w:rsidRPr="006E17A9" w:rsidRDefault="00AE0379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Juiz de Direito d</w:t>
      </w:r>
      <w:r w:rsidRPr="006E1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51433" w:rsidRPr="006E17A9" w:rsidRDefault="00B0281B" w:rsidP="001A67BA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AE0379">
        <w:rPr>
          <w:rFonts w:ascii="Times New Roman" w:hAnsi="Times New Roman" w:cs="Times New Roman"/>
          <w:sz w:val="24"/>
          <w:szCs w:val="24"/>
        </w:rPr>
        <w:t>, endereço e CPF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por seu advogado </w:t>
      </w:r>
      <w:r w:rsidR="00C51433"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in fine 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assinado, </w:t>
      </w:r>
      <w:r w:rsidR="00C51433" w:rsidRPr="006E17A9">
        <w:rPr>
          <w:rFonts w:ascii="Times New Roman" w:hAnsi="Times New Roman" w:cs="Times New Roman"/>
          <w:i/>
          <w:spacing w:val="-4"/>
          <w:sz w:val="24"/>
          <w:szCs w:val="24"/>
        </w:rPr>
        <w:t xml:space="preserve">ut 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>instrumento de procuração em anexo (doc.</w:t>
      </w:r>
      <w:r w:rsidR="00AE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>n. ...), vem, respeitosamente, com fulcro no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art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igos </w:t>
      </w:r>
      <w:r w:rsidRPr="00B0281B">
        <w:rPr>
          <w:rFonts w:ascii="Times New Roman" w:hAnsi="Times New Roman" w:cs="Times New Roman"/>
          <w:spacing w:val="-4"/>
          <w:sz w:val="24"/>
          <w:szCs w:val="24"/>
        </w:rPr>
        <w:t>319 e 320 do Código de Processo Civil</w:t>
      </w:r>
      <w:r>
        <w:rPr>
          <w:rStyle w:val="Refdenotaderodap"/>
          <w:rFonts w:ascii="Times New Roman" w:hAnsi="Times New Roman" w:cs="Times New Roman"/>
          <w:spacing w:val="-4"/>
          <w:sz w:val="24"/>
          <w:szCs w:val="24"/>
        </w:rPr>
        <w:footnoteReference w:id="4"/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 e Código Civil, art. 927 e art. 949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5"/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, promover a presente </w:t>
      </w:r>
      <w:r w:rsidR="00C51433" w:rsidRPr="006E17A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AÇÃO ORDINÁRIA DE INDENIZAÇÃO POR ATO ILÍCITO 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>contra (</w:t>
      </w:r>
      <w:r w:rsidR="00881557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881557">
        <w:rPr>
          <w:rFonts w:ascii="Times New Roman" w:hAnsi="Times New Roman" w:cs="Times New Roman"/>
          <w:sz w:val="24"/>
          <w:szCs w:val="24"/>
        </w:rPr>
        <w:t xml:space="preserve"> completa</w:t>
      </w:r>
      <w:r w:rsidR="00881557" w:rsidRPr="002603CA">
        <w:rPr>
          <w:rFonts w:ascii="Times New Roman" w:hAnsi="Times New Roman" w:cs="Times New Roman"/>
          <w:sz w:val="24"/>
          <w:szCs w:val="24"/>
        </w:rPr>
        <w:t>,</w:t>
      </w:r>
      <w:r w:rsidR="00881557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881557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C51433" w:rsidRPr="006E17A9">
        <w:rPr>
          <w:rFonts w:ascii="Times New Roman" w:hAnsi="Times New Roman" w:cs="Times New Roman"/>
          <w:spacing w:val="-4"/>
          <w:sz w:val="24"/>
          <w:szCs w:val="24"/>
        </w:rPr>
        <w:t>), pelas razões de fato e direito adiante articuladas:</w:t>
      </w: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foi vítima de acidente ocorrido em data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nesta cidade, quando transitava em seu veículo marca 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/modelo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chassi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n.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placas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(doc.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), consoante faz fé o incluso boletim de ocorrência realizado pela Policia Militar.</w:t>
      </w: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Em vista de </w:t>
      </w:r>
      <w:r>
        <w:rPr>
          <w:rFonts w:ascii="Times New Roman" w:hAnsi="Times New Roman" w:cs="Times New Roman"/>
          <w:sz w:val="24"/>
          <w:szCs w:val="24"/>
        </w:rPr>
        <w:t>ocorrido</w:t>
      </w:r>
      <w:r w:rsidRPr="006E17A9">
        <w:rPr>
          <w:rFonts w:ascii="Times New Roman" w:hAnsi="Times New Roman" w:cs="Times New Roman"/>
          <w:sz w:val="24"/>
          <w:szCs w:val="24"/>
        </w:rPr>
        <w:t xml:space="preserve"> acidente, o autor sofreu lesões de natureza grave, que o obrigaram à realização de uma cirurgia, além de ter permanecido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dias, internado no Hospital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situado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nesta cidade (doc. n. ...).</w:t>
      </w: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3. P</w:t>
      </w:r>
      <w:r>
        <w:rPr>
          <w:rFonts w:ascii="Times New Roman" w:hAnsi="Times New Roman" w:cs="Times New Roman"/>
          <w:sz w:val="24"/>
          <w:szCs w:val="24"/>
        </w:rPr>
        <w:t xml:space="preserve">elo </w:t>
      </w:r>
      <w:r w:rsidRPr="006E17A9">
        <w:rPr>
          <w:rFonts w:ascii="Times New Roman" w:hAnsi="Times New Roman" w:cs="Times New Roman"/>
          <w:sz w:val="24"/>
          <w:szCs w:val="24"/>
        </w:rPr>
        <w:t xml:space="preserve">tratamento médico e hospitalar, despendeu o autor, a quantia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consoante se demonstra pelos documentos inclusos, cabendo ao ofensor, o ora suplicado, por ter culpa no mencionado acidente, a respectiva indenização de tal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quantum.</w:t>
      </w: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O autor que exerce a atividade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percebendo a quantia de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mês (doc. n. ...), ficou sem poder trabalhar durante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, cabendo assim a respectiva indenização no que se refere aos lucros cessantes de tal paralisação de suas atividades normais, sob pena de se admitir sério prejuízo de sua renda, utilizada para a mantença de seus familiares.</w:t>
      </w:r>
    </w:p>
    <w:p w:rsidR="00C51433" w:rsidRPr="006E17A9" w:rsidRDefault="00C51433" w:rsidP="001A67BA">
      <w:pPr>
        <w:pStyle w:val="Noparagraphstyle"/>
        <w:suppressAutoHyphens/>
        <w:ind w:right="-568"/>
        <w:jc w:val="both"/>
      </w:pP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Além de tais prejuízos, o autor teve seu veículo danificado, importando o conserto do mesmo na quantia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consoante se verifica dos orçamentos inclusos, cujo valor deverá também ser suportado pelo suplicado, de modo que a reparação seja a mais completa possível.</w:t>
      </w:r>
    </w:p>
    <w:p w:rsidR="00346C7E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0281B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B0281B">
        <w:rPr>
          <w:rFonts w:ascii="Times New Roman" w:hAnsi="Times New Roman" w:cs="Times New Roman"/>
          <w:sz w:val="24"/>
          <w:szCs w:val="24"/>
        </w:rPr>
        <w:t>o autor requer:</w:t>
      </w:r>
    </w:p>
    <w:p w:rsidR="00B0281B" w:rsidRDefault="00B0281B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81557" w:rsidRPr="00AE0379" w:rsidRDefault="00B0281B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E0379">
        <w:rPr>
          <w:rFonts w:ascii="Times New Roman" w:hAnsi="Times New Roman" w:cs="Times New Roman"/>
          <w:sz w:val="24"/>
          <w:szCs w:val="24"/>
        </w:rPr>
        <w:lastRenderedPageBreak/>
        <w:t>a) seja</w:t>
      </w:r>
      <w:r w:rsidR="00346C7E" w:rsidRPr="00AE0379">
        <w:rPr>
          <w:rFonts w:ascii="Times New Roman" w:hAnsi="Times New Roman" w:cs="Times New Roman"/>
          <w:sz w:val="24"/>
          <w:szCs w:val="24"/>
        </w:rPr>
        <w:t xml:space="preserve"> JULGADA </w:t>
      </w:r>
      <w:r w:rsidRPr="00AE0379">
        <w:rPr>
          <w:rFonts w:ascii="Times New Roman" w:hAnsi="Times New Roman" w:cs="Times New Roman"/>
          <w:sz w:val="24"/>
          <w:szCs w:val="24"/>
        </w:rPr>
        <w:t>PROCEDENTE A PRESENTE AÇÃO para condenar o réu</w:t>
      </w:r>
      <w:r w:rsidR="00881557" w:rsidRPr="00AE0379">
        <w:rPr>
          <w:rFonts w:ascii="Times New Roman" w:hAnsi="Times New Roman" w:cs="Times New Roman"/>
          <w:sz w:val="24"/>
          <w:szCs w:val="24"/>
        </w:rPr>
        <w:t xml:space="preserve"> a indenizar o autor no valor de </w:t>
      </w:r>
      <w:proofErr w:type="gramStart"/>
      <w:r w:rsidR="00881557" w:rsidRPr="00AE037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="00881557" w:rsidRPr="00AE0379">
        <w:rPr>
          <w:rFonts w:ascii="Times New Roman" w:hAnsi="Times New Roman" w:cs="Times New Roman"/>
          <w:sz w:val="24"/>
          <w:szCs w:val="24"/>
        </w:rPr>
        <w:t xml:space="preserve"> (...) referente </w:t>
      </w:r>
      <w:r w:rsidR="00346C7E" w:rsidRPr="00AE0379">
        <w:rPr>
          <w:rFonts w:ascii="Times New Roman" w:hAnsi="Times New Roman" w:cs="Times New Roman"/>
          <w:sz w:val="24"/>
          <w:szCs w:val="24"/>
        </w:rPr>
        <w:t>às</w:t>
      </w:r>
      <w:r w:rsidR="00881557" w:rsidRPr="00AE0379">
        <w:rPr>
          <w:rFonts w:ascii="Times New Roman" w:hAnsi="Times New Roman" w:cs="Times New Roman"/>
          <w:sz w:val="24"/>
          <w:szCs w:val="24"/>
        </w:rPr>
        <w:t xml:space="preserve"> despesas com o conserto do veículo</w:t>
      </w:r>
      <w:r w:rsidR="00346C7E" w:rsidRPr="00AE0379">
        <w:rPr>
          <w:rFonts w:ascii="Times New Roman" w:hAnsi="Times New Roman" w:cs="Times New Roman"/>
          <w:sz w:val="24"/>
          <w:szCs w:val="24"/>
        </w:rPr>
        <w:t>;</w:t>
      </w:r>
      <w:r w:rsidR="00881557" w:rsidRPr="00AE0379">
        <w:rPr>
          <w:rFonts w:ascii="Times New Roman" w:hAnsi="Times New Roman" w:cs="Times New Roman"/>
          <w:sz w:val="24"/>
          <w:szCs w:val="24"/>
        </w:rPr>
        <w:t xml:space="preserve"> </w:t>
      </w:r>
      <w:r w:rsidR="00346C7E" w:rsidRPr="00AE0379">
        <w:rPr>
          <w:rFonts w:ascii="Times New Roman" w:hAnsi="Times New Roman" w:cs="Times New Roman"/>
          <w:sz w:val="24"/>
          <w:szCs w:val="24"/>
        </w:rPr>
        <w:t xml:space="preserve">a quantia de </w:t>
      </w:r>
      <w:proofErr w:type="gramStart"/>
      <w:r w:rsidR="00346C7E" w:rsidRPr="00AE037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="00346C7E" w:rsidRPr="00AE0379">
        <w:rPr>
          <w:rFonts w:ascii="Times New Roman" w:hAnsi="Times New Roman" w:cs="Times New Roman"/>
          <w:sz w:val="24"/>
          <w:szCs w:val="24"/>
        </w:rPr>
        <w:t xml:space="preserve"> (...) relativo às</w:t>
      </w:r>
      <w:r w:rsidR="00881557" w:rsidRPr="00AE0379">
        <w:rPr>
          <w:rFonts w:ascii="Times New Roman" w:hAnsi="Times New Roman" w:cs="Times New Roman"/>
          <w:sz w:val="24"/>
          <w:szCs w:val="24"/>
        </w:rPr>
        <w:t xml:space="preserve"> despesas </w:t>
      </w:r>
      <w:r w:rsidR="00346C7E" w:rsidRPr="00AE0379">
        <w:rPr>
          <w:rFonts w:ascii="Times New Roman" w:hAnsi="Times New Roman" w:cs="Times New Roman"/>
          <w:sz w:val="24"/>
          <w:szCs w:val="24"/>
        </w:rPr>
        <w:t xml:space="preserve">resultantes do </w:t>
      </w:r>
      <w:r w:rsidR="00881557" w:rsidRPr="00AE0379">
        <w:rPr>
          <w:rFonts w:ascii="Times New Roman" w:hAnsi="Times New Roman" w:cs="Times New Roman"/>
          <w:sz w:val="24"/>
          <w:szCs w:val="24"/>
        </w:rPr>
        <w:t>tratamento</w:t>
      </w:r>
      <w:r w:rsidR="00346C7E" w:rsidRPr="00AE0379">
        <w:rPr>
          <w:rFonts w:ascii="Times New Roman" w:hAnsi="Times New Roman" w:cs="Times New Roman"/>
          <w:sz w:val="24"/>
          <w:szCs w:val="24"/>
        </w:rPr>
        <w:t xml:space="preserve"> médico e hospitalar</w:t>
      </w:r>
      <w:r w:rsidR="00881557" w:rsidRPr="00AE0379">
        <w:rPr>
          <w:rFonts w:ascii="Times New Roman" w:hAnsi="Times New Roman" w:cs="Times New Roman"/>
          <w:sz w:val="24"/>
          <w:szCs w:val="24"/>
        </w:rPr>
        <w:t xml:space="preserve">, </w:t>
      </w:r>
      <w:r w:rsidR="00346C7E" w:rsidRPr="00AE0379">
        <w:rPr>
          <w:rFonts w:ascii="Times New Roman" w:hAnsi="Times New Roman" w:cs="Times New Roman"/>
          <w:sz w:val="24"/>
          <w:szCs w:val="24"/>
        </w:rPr>
        <w:t xml:space="preserve">bem como o valor de </w:t>
      </w:r>
      <w:proofErr w:type="gramStart"/>
      <w:r w:rsidR="00346C7E" w:rsidRPr="00AE037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="00346C7E" w:rsidRPr="00AE0379">
        <w:rPr>
          <w:rFonts w:ascii="Times New Roman" w:hAnsi="Times New Roman" w:cs="Times New Roman"/>
          <w:sz w:val="24"/>
          <w:szCs w:val="24"/>
        </w:rPr>
        <w:t xml:space="preserve"> (...) concernente aos lucros cessantes </w:t>
      </w:r>
      <w:proofErr w:type="gramStart"/>
      <w:r w:rsidR="00346C7E" w:rsidRPr="00AE0379">
        <w:rPr>
          <w:rFonts w:ascii="Times New Roman" w:hAnsi="Times New Roman" w:cs="Times New Roman"/>
          <w:sz w:val="24"/>
          <w:szCs w:val="24"/>
        </w:rPr>
        <w:t>pelos ...</w:t>
      </w:r>
      <w:proofErr w:type="gramEnd"/>
      <w:r w:rsidR="00346C7E" w:rsidRPr="00AE0379">
        <w:rPr>
          <w:rFonts w:ascii="Times New Roman" w:hAnsi="Times New Roman" w:cs="Times New Roman"/>
          <w:sz w:val="24"/>
          <w:szCs w:val="24"/>
        </w:rPr>
        <w:t xml:space="preserve"> (...) dias que ficou impossibilitado de trabalhar,</w:t>
      </w:r>
      <w:r w:rsidR="00881557" w:rsidRPr="00AE0379">
        <w:rPr>
          <w:rFonts w:ascii="Times New Roman" w:hAnsi="Times New Roman" w:cs="Times New Roman"/>
          <w:sz w:val="24"/>
          <w:szCs w:val="24"/>
        </w:rPr>
        <w:t xml:space="preserve"> aplicando-se no que for cabível, a respectiva atualização monetária e imposição de juros, tudo desde o evento ou do desembolso, além das </w:t>
      </w:r>
      <w:proofErr w:type="gramStart"/>
      <w:r w:rsidR="00881557" w:rsidRPr="00AE0379">
        <w:rPr>
          <w:rFonts w:ascii="Times New Roman" w:hAnsi="Times New Roman" w:cs="Times New Roman"/>
          <w:sz w:val="24"/>
          <w:szCs w:val="24"/>
        </w:rPr>
        <w:t>custas processuais e honorários advocatícios</w:t>
      </w:r>
      <w:proofErr w:type="gramEnd"/>
      <w:r w:rsidR="00881557" w:rsidRPr="00AE0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81B" w:rsidRPr="00AE0379" w:rsidRDefault="00B0281B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6C7E" w:rsidRPr="00AE0379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E0379">
        <w:rPr>
          <w:rFonts w:ascii="Times New Roman" w:hAnsi="Times New Roman" w:cs="Times New Roman"/>
          <w:sz w:val="24"/>
          <w:szCs w:val="24"/>
        </w:rPr>
        <w:t>b) sej</w:t>
      </w:r>
      <w:r w:rsidRPr="00CF284F">
        <w:rPr>
          <w:rFonts w:ascii="Times New Roman" w:hAnsi="Times New Roman" w:cs="Times New Roman"/>
          <w:sz w:val="24"/>
          <w:szCs w:val="24"/>
        </w:rPr>
        <w:t xml:space="preserve">a de plano designada audiência de conciliação ou de mediação, com antecedência mínima de 30 (trinta) dias, citando o réu, via mandado, no endereço registrado no preâmbulo com pelo menos 20 </w:t>
      </w:r>
      <w:r w:rsidRPr="00AE0379">
        <w:rPr>
          <w:rFonts w:ascii="Times New Roman" w:hAnsi="Times New Roman" w:cs="Times New Roman"/>
          <w:sz w:val="24"/>
          <w:szCs w:val="24"/>
        </w:rPr>
        <w:t>(vinte) dias para seu indispensável comparecimento (CPC, artigos 319, VII e 334 caput e §8º)</w:t>
      </w:r>
      <w:r w:rsidRPr="00AE037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AE03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037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E0379">
        <w:rPr>
          <w:rFonts w:ascii="Times New Roman" w:hAnsi="Times New Roman" w:cs="Times New Roman"/>
          <w:sz w:val="24"/>
          <w:szCs w:val="24"/>
        </w:rPr>
        <w:t xml:space="preserve"> de multa de até dois por cento da vantagem econômica pretendida ou do valor da causa;</w:t>
      </w:r>
    </w:p>
    <w:p w:rsidR="00C51433" w:rsidRPr="00AE037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6C7E" w:rsidRPr="00AE0379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E0379">
        <w:rPr>
          <w:rFonts w:ascii="Times New Roman" w:hAnsi="Times New Roman" w:cs="Times New Roman"/>
          <w:sz w:val="24"/>
          <w:szCs w:val="24"/>
        </w:rPr>
        <w:t xml:space="preserve">c) </w:t>
      </w:r>
      <w:r w:rsidRPr="00AE03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AE0379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AE03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AE0379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7"/>
      </w:r>
      <w:r w:rsidRPr="00AE03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AE03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AE037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ora anexada (doc. n. ...);</w:t>
      </w:r>
    </w:p>
    <w:p w:rsidR="00346C7E" w:rsidRPr="00AE0379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6C7E" w:rsidRPr="00AE0379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E0379">
        <w:rPr>
          <w:rFonts w:ascii="Times New Roman" w:hAnsi="Times New Roman" w:cs="Times New Roman"/>
          <w:sz w:val="24"/>
          <w:szCs w:val="24"/>
        </w:rPr>
        <w:t xml:space="preserve">d) a produção de prova documental, testemunhal, pericial, e, especialmente, o depoimento pessoal do réu, </w:t>
      </w:r>
      <w:proofErr w:type="gramStart"/>
      <w:r w:rsidRPr="00AE037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AE0379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346C7E" w:rsidRPr="00AE0379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6C7E" w:rsidRPr="00AE0379" w:rsidRDefault="00346C7E" w:rsidP="001A67BA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AE0379">
        <w:rPr>
          <w:color w:val="000000"/>
        </w:rPr>
        <w:t xml:space="preserve">e) </w:t>
      </w:r>
      <w:r w:rsidRPr="002D4E1A">
        <w:rPr>
          <w:color w:val="000000"/>
        </w:rPr>
        <w:t>a intimação do signatário para as vindouras publicações.</w:t>
      </w:r>
    </w:p>
    <w:p w:rsidR="00346C7E" w:rsidRPr="00E6752E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46C7E" w:rsidRDefault="00346C7E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E6752E">
        <w:rPr>
          <w:rFonts w:ascii="Times New Roman" w:hAnsi="Times New Roman" w:cs="Times New Roman"/>
          <w:sz w:val="24"/>
          <w:szCs w:val="24"/>
        </w:rPr>
        <w:t xml:space="preserve"> (...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</w:p>
    <w:p w:rsidR="00C51433" w:rsidRPr="006E17A9" w:rsidRDefault="00C51433" w:rsidP="001A67B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346C7E" w:rsidRPr="006E17A9" w:rsidRDefault="00C51433" w:rsidP="001A67BA">
      <w:pPr>
        <w:ind w:right="-568"/>
        <w:jc w:val="center"/>
      </w:pPr>
      <w:r w:rsidRPr="006E17A9">
        <w:t>P. Deferimento.</w:t>
      </w:r>
    </w:p>
    <w:p w:rsidR="00C51433" w:rsidRPr="006E17A9" w:rsidRDefault="00C51433" w:rsidP="001A67BA">
      <w:pPr>
        <w:ind w:right="-568"/>
        <w:jc w:val="center"/>
      </w:pPr>
      <w:r w:rsidRPr="006E17A9">
        <w:t>(Local e data)</w:t>
      </w:r>
    </w:p>
    <w:p w:rsidR="00C51433" w:rsidRPr="006E17A9" w:rsidRDefault="00C51433" w:rsidP="001A67BA">
      <w:pPr>
        <w:ind w:right="-568"/>
        <w:jc w:val="center"/>
      </w:pPr>
      <w:r w:rsidRPr="006E17A9">
        <w:t>(Assinatura e OAB do Advogado)</w:t>
      </w:r>
    </w:p>
    <w:p w:rsidR="00C51433" w:rsidRPr="006E17A9" w:rsidRDefault="00C51433" w:rsidP="001A67B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sectPr w:rsidR="00C51433" w:rsidRPr="006E17A9" w:rsidSect="00571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5D" w:rsidRDefault="00AA785D" w:rsidP="00C51433">
      <w:r>
        <w:separator/>
      </w:r>
    </w:p>
  </w:endnote>
  <w:endnote w:type="continuationSeparator" w:id="0">
    <w:p w:rsidR="00AA785D" w:rsidRDefault="00AA785D" w:rsidP="00C5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5D" w:rsidRDefault="00AA785D" w:rsidP="00C51433">
      <w:r>
        <w:separator/>
      </w:r>
    </w:p>
  </w:footnote>
  <w:footnote w:type="continuationSeparator" w:id="0">
    <w:p w:rsidR="00AA785D" w:rsidRDefault="00AA785D" w:rsidP="00C51433">
      <w:r>
        <w:continuationSeparator/>
      </w:r>
    </w:p>
  </w:footnote>
  <w:footnote w:id="1">
    <w:p w:rsidR="00B0281B" w:rsidRPr="00416336" w:rsidRDefault="00B0281B" w:rsidP="001A67BA">
      <w:pPr>
        <w:pStyle w:val="Textodenotaderodap"/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1A67BA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 w:rsidR="001A67BA"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1A67BA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1A67BA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1A67BA">
        <w:t xml:space="preserve"> </w:t>
      </w:r>
      <w:r w:rsidRPr="00416336">
        <w:rPr>
          <w:b/>
        </w:rPr>
        <w:t>V</w:t>
      </w:r>
      <w:r w:rsidRPr="00416336">
        <w:t xml:space="preserve"> - </w:t>
      </w:r>
      <w:proofErr w:type="gramStart"/>
      <w:r w:rsidRPr="00416336">
        <w:t>o valor da causa</w:t>
      </w:r>
      <w:bookmarkStart w:id="6" w:name="art319vi"/>
      <w:bookmarkEnd w:id="6"/>
      <w:r w:rsidR="001A67BA">
        <w:t xml:space="preserve"> </w:t>
      </w:r>
      <w:r w:rsidRPr="00416336">
        <w:rPr>
          <w:b/>
        </w:rPr>
        <w:t>VI</w:t>
      </w:r>
      <w:proofErr w:type="gramEnd"/>
      <w:r w:rsidRPr="00416336">
        <w:rPr>
          <w:b/>
        </w:rPr>
        <w:t xml:space="preserve"> </w:t>
      </w:r>
      <w:r w:rsidRPr="00416336">
        <w:t>- as provas com que o autor pretende demonstrar a verdade dos fatos alegados;</w:t>
      </w:r>
      <w:bookmarkStart w:id="7" w:name="art319vii"/>
      <w:bookmarkEnd w:id="7"/>
      <w:r w:rsidR="001A67BA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 xml:space="preserve"> A petição inicial não será indeferida pelo não atendimento ao disposto no inciso II deste artigo se a obtenção de tais informações </w:t>
      </w:r>
      <w:proofErr w:type="gramStart"/>
      <w:r w:rsidRPr="00416336">
        <w:t>tornar</w:t>
      </w:r>
      <w:proofErr w:type="gramEnd"/>
      <w:r w:rsidRPr="00416336">
        <w:t xml:space="preserve"> impossível ou excessivamente oneroso o acesso à justiça.</w:t>
      </w:r>
    </w:p>
  </w:footnote>
  <w:footnote w:id="2">
    <w:p w:rsidR="00B0281B" w:rsidRPr="004C7863" w:rsidRDefault="00B0281B" w:rsidP="001A67BA">
      <w:pPr>
        <w:pStyle w:val="Rodap"/>
        <w:tabs>
          <w:tab w:val="right" w:pos="9356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1A67BA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1A67BA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1A67BA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1A67BA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1A67BA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1A67BA">
        <w:rPr>
          <w:bCs/>
          <w:sz w:val="20"/>
          <w:szCs w:val="20"/>
        </w:rPr>
        <w:t xml:space="preserve"> </w:t>
      </w:r>
      <w:r w:rsidRPr="001D4E37">
        <w:rPr>
          <w:bCs/>
          <w:sz w:val="20"/>
          <w:szCs w:val="20"/>
        </w:rPr>
        <w:t>VI - na ação em que há cumulação de pedidos, a quantia correspondente à soma dos valores de todos eles;</w:t>
      </w:r>
      <w:bookmarkStart w:id="17" w:name="art292vii"/>
      <w:bookmarkEnd w:id="17"/>
      <w:r w:rsidR="001A67BA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1A67BA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1D4E37">
        <w:rPr>
          <w:bCs/>
          <w:sz w:val="20"/>
          <w:szCs w:val="20"/>
        </w:rPr>
        <w:t>1</w:t>
      </w:r>
      <w:proofErr w:type="gramEnd"/>
      <w:r w:rsidRPr="001D4E37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B0281B" w:rsidRPr="002603CA" w:rsidRDefault="00B0281B" w:rsidP="001A67BA">
      <w:pPr>
        <w:pStyle w:val="Textodenotaderodap"/>
        <w:ind w:right="-568"/>
        <w:jc w:val="both"/>
      </w:pPr>
      <w:r w:rsidRPr="002603CA">
        <w:rPr>
          <w:rStyle w:val="Refdenotaderodap"/>
        </w:rPr>
        <w:footnoteRef/>
      </w:r>
      <w:r w:rsidRPr="002603CA"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2603CA">
        <w:t>a</w:t>
      </w:r>
      <w:proofErr w:type="gramEnd"/>
      <w:r w:rsidRPr="002603CA">
        <w:t xml:space="preserve"> qualificação completa na forma legal, suficiente serão os dados fornecidos que tenham o condão de identificar o indivíduo. A propósito, </w:t>
      </w:r>
      <w:r w:rsidRPr="002603CA">
        <w:rPr>
          <w:i/>
        </w:rPr>
        <w:t>residência</w:t>
      </w:r>
      <w:r w:rsidRPr="002603CA"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2603CA">
        <w:t>Exigi-se</w:t>
      </w:r>
      <w:proofErr w:type="spellEnd"/>
      <w:r w:rsidRPr="002603CA">
        <w:t xml:space="preserve"> o intuito de permanência. Já o </w:t>
      </w:r>
      <w:r w:rsidRPr="002603CA">
        <w:rPr>
          <w:i/>
        </w:rPr>
        <w:t>domicílio</w:t>
      </w:r>
      <w:r w:rsidRPr="002603CA">
        <w:t xml:space="preserve">, conforme a definição dos </w:t>
      </w:r>
      <w:proofErr w:type="spellStart"/>
      <w:r w:rsidRPr="002603CA">
        <w:t>arts</w:t>
      </w:r>
      <w:proofErr w:type="spellEnd"/>
      <w:r w:rsidRPr="002603CA">
        <w:t xml:space="preserve">. 70 </w:t>
      </w:r>
      <w:proofErr w:type="spellStart"/>
      <w:r w:rsidRPr="002603CA">
        <w:rPr>
          <w:i/>
        </w:rPr>
        <w:t>usque</w:t>
      </w:r>
      <w:proofErr w:type="spellEnd"/>
      <w:r w:rsidRPr="002603CA">
        <w:rPr>
          <w:i/>
        </w:rPr>
        <w:t xml:space="preserve"> </w:t>
      </w:r>
      <w:r w:rsidRPr="002603CA">
        <w:t xml:space="preserve">78, para pessoas físicas ou jurídicas, </w:t>
      </w:r>
      <w:proofErr w:type="gramStart"/>
      <w:r w:rsidRPr="002603CA">
        <w:t>é conceituado</w:t>
      </w:r>
      <w:proofErr w:type="gramEnd"/>
      <w:r w:rsidRPr="002603CA"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B0281B" w:rsidRDefault="00B0281B" w:rsidP="001A67BA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>
        <w:t xml:space="preserve"> </w:t>
      </w:r>
      <w:r w:rsidRPr="002603CA">
        <w:rPr>
          <w:b/>
        </w:rPr>
        <w:t>Art. 320</w:t>
      </w:r>
      <w:r w:rsidRPr="002603CA">
        <w:t>.  A petição inicial será instruída com os documentos indispensáveis à propositura da ação.</w:t>
      </w:r>
    </w:p>
  </w:footnote>
  <w:footnote w:id="5">
    <w:p w:rsidR="00C51433" w:rsidRPr="006E17A9" w:rsidRDefault="00C51433" w:rsidP="001A67BA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b/>
          <w:bCs/>
          <w:sz w:val="20"/>
          <w:szCs w:val="20"/>
        </w:rPr>
        <w:t xml:space="preserve">Art. 927. </w:t>
      </w:r>
      <w:r w:rsidRPr="006E17A9">
        <w:rPr>
          <w:sz w:val="20"/>
          <w:szCs w:val="20"/>
        </w:rPr>
        <w:t>Aquele que, por ato ilícito (</w:t>
      </w:r>
      <w:proofErr w:type="spellStart"/>
      <w:r w:rsidRPr="006E17A9">
        <w:rPr>
          <w:sz w:val="20"/>
          <w:szCs w:val="20"/>
        </w:rPr>
        <w:t>arts</w:t>
      </w:r>
      <w:proofErr w:type="spellEnd"/>
      <w:r w:rsidRPr="006E17A9">
        <w:rPr>
          <w:sz w:val="20"/>
          <w:szCs w:val="20"/>
        </w:rPr>
        <w:t xml:space="preserve">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 xml:space="preserve">. Haverá obrigação de reparar o dano, independentemente de culpa, nos casos especificados em lei, ou quando a atividade normalmente desenvolvida pelo autor do dano implicar, por sua natureza, risco para os direitos de outrem. </w:t>
      </w:r>
    </w:p>
    <w:p w:rsidR="00C51433" w:rsidRPr="006E17A9" w:rsidRDefault="00C51433" w:rsidP="001A67BA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949.</w:t>
      </w:r>
      <w:r w:rsidRPr="006E17A9">
        <w:rPr>
          <w:sz w:val="20"/>
          <w:szCs w:val="20"/>
        </w:rPr>
        <w:t xml:space="preserve"> No caso de lesão ou outra ofensa à saúde, o ofensor indenizará o ofendido das despesas do tratamento e dos lucros cessantes até ao fim da convalescença, além de algum outro prejuízo que o ofendido prove haver sofrido.</w:t>
      </w:r>
    </w:p>
  </w:footnote>
  <w:footnote w:id="6">
    <w:p w:rsidR="00346C7E" w:rsidRPr="002603CA" w:rsidRDefault="00346C7E" w:rsidP="001A67BA">
      <w:pPr>
        <w:pStyle w:val="Textodenotaderodap"/>
        <w:ind w:right="-568"/>
        <w:jc w:val="both"/>
      </w:pPr>
      <w:r w:rsidRPr="002603CA">
        <w:rPr>
          <w:rStyle w:val="Refdenotaderodap"/>
        </w:rPr>
        <w:footnoteRef/>
      </w:r>
      <w:r w:rsidRPr="002603CA">
        <w:t xml:space="preserve"> </w:t>
      </w:r>
      <w:r w:rsidRPr="002603CA">
        <w:rPr>
          <w:b/>
        </w:rPr>
        <w:t>CPC. Art. 319,</w:t>
      </w:r>
      <w:proofErr w:type="gramStart"/>
      <w:r w:rsidRPr="002603CA">
        <w:t xml:space="preserve">  </w:t>
      </w:r>
      <w:proofErr w:type="gramEnd"/>
      <w:r w:rsidRPr="002603CA">
        <w:rPr>
          <w:b/>
        </w:rPr>
        <w:t>VII.</w:t>
      </w:r>
    </w:p>
    <w:p w:rsidR="00346C7E" w:rsidRDefault="00346C7E" w:rsidP="001A67BA">
      <w:pPr>
        <w:pStyle w:val="Textodenotaderodap"/>
        <w:ind w:right="-568"/>
        <w:jc w:val="both"/>
      </w:pPr>
      <w:r w:rsidRPr="002603CA">
        <w:rPr>
          <w:b/>
        </w:rPr>
        <w:t>Art. 334.</w:t>
      </w:r>
      <w:r w:rsidRPr="002603CA">
        <w:t xml:space="preserve">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 (...) § 8º O não comparecimento injustificado do autor ou do réu à audiência de conciliação é considerado ato atentatório à dignidade da justiça e será sancionado com multa de até dois por cento da vantagem econômica pretendida ou do valor da causa, revertida em favor da União ou do Estado.</w:t>
      </w:r>
    </w:p>
  </w:footnote>
  <w:footnote w:id="7">
    <w:p w:rsidR="00346C7E" w:rsidRPr="00E576A6" w:rsidRDefault="00346C7E" w:rsidP="001A67BA">
      <w:pPr>
        <w:pStyle w:val="Textodenotaderodap"/>
        <w:ind w:right="-568"/>
        <w:jc w:val="both"/>
      </w:pPr>
      <w:r w:rsidRPr="00E576A6">
        <w:rPr>
          <w:rStyle w:val="Refdenotaderodap"/>
        </w:rPr>
        <w:footnoteRef/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</w:t>
      </w:r>
      <w:proofErr w:type="gramStart"/>
      <w:r w:rsidRPr="00E576A6">
        <w:t>as custas</w:t>
      </w:r>
      <w:proofErr w:type="gramEnd"/>
      <w:r w:rsidRPr="00E576A6">
        <w:t>, as despesas processuais e os honorários advocatícios tem direito à gratuidade da justiça, na forma da lei.</w:t>
      </w:r>
    </w:p>
    <w:p w:rsidR="00346C7E" w:rsidRPr="0011143C" w:rsidRDefault="00346C7E" w:rsidP="001A67BA">
      <w:pPr>
        <w:pStyle w:val="Textodenotaderodap"/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8">
    <w:p w:rsidR="00346C7E" w:rsidRPr="004D1642" w:rsidRDefault="00346C7E" w:rsidP="001A67BA">
      <w:pPr>
        <w:pStyle w:val="Textodenotaderodap"/>
        <w:ind w:right="-568"/>
        <w:jc w:val="both"/>
      </w:pPr>
      <w:r>
        <w:rPr>
          <w:rStyle w:val="Refdenotaderodap"/>
        </w:rPr>
        <w:footnoteRef/>
      </w:r>
      <w:r>
        <w:t xml:space="preserve"> O valor da causa será o correspondente ao do contrato que se almeja seja cumprido, </w:t>
      </w:r>
      <w:proofErr w:type="spellStart"/>
      <w:r>
        <w:rPr>
          <w:i/>
        </w:rPr>
        <w:t>ex</w:t>
      </w:r>
      <w:proofErr w:type="spellEnd"/>
      <w:r>
        <w:rPr>
          <w:i/>
        </w:rPr>
        <w:t xml:space="preserve"> vi</w:t>
      </w:r>
      <w:r>
        <w:t xml:space="preserve"> </w:t>
      </w:r>
      <w:r>
        <w:rPr>
          <w:b/>
        </w:rPr>
        <w:t>art. 292, II do CPC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33"/>
    <w:rsid w:val="00144605"/>
    <w:rsid w:val="001A67BA"/>
    <w:rsid w:val="001F50FD"/>
    <w:rsid w:val="002D5EAC"/>
    <w:rsid w:val="00346898"/>
    <w:rsid w:val="00346C7E"/>
    <w:rsid w:val="003D67F5"/>
    <w:rsid w:val="00476796"/>
    <w:rsid w:val="00571F97"/>
    <w:rsid w:val="00591B4F"/>
    <w:rsid w:val="006112BB"/>
    <w:rsid w:val="00730A9B"/>
    <w:rsid w:val="00881557"/>
    <w:rsid w:val="008D620A"/>
    <w:rsid w:val="009F5315"/>
    <w:rsid w:val="00A65A18"/>
    <w:rsid w:val="00AA785D"/>
    <w:rsid w:val="00AE0379"/>
    <w:rsid w:val="00B0281B"/>
    <w:rsid w:val="00C51433"/>
    <w:rsid w:val="00C9604E"/>
    <w:rsid w:val="00CD679A"/>
    <w:rsid w:val="00EC5BA1"/>
    <w:rsid w:val="00F308B1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51433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5143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514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51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C51433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C51433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028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28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0281B"/>
    <w:rPr>
      <w:vertAlign w:val="superscript"/>
    </w:rPr>
  </w:style>
  <w:style w:type="character" w:styleId="Forte">
    <w:name w:val="Strong"/>
    <w:uiPriority w:val="22"/>
    <w:qFormat/>
    <w:rsid w:val="003D67F5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C51433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5143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C514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51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C51433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C51433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028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28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B0281B"/>
    <w:rPr>
      <w:vertAlign w:val="superscript"/>
    </w:rPr>
  </w:style>
  <w:style w:type="character" w:styleId="Forte">
    <w:name w:val="Strong"/>
    <w:uiPriority w:val="22"/>
    <w:qFormat/>
    <w:rsid w:val="003D67F5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F6D7-5ECD-4603-97AB-F698218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2020-06-29T19:34:00Z</dcterms:created>
  <dcterms:modified xsi:type="dcterms:W3CDTF">2020-07-13T15:32:00Z</dcterms:modified>
</cp:coreProperties>
</file>