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92" w:rsidRPr="00C54192" w:rsidRDefault="00C54192" w:rsidP="0057088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54192">
        <w:rPr>
          <w:rFonts w:ascii="Arial Black" w:hAnsi="Arial Black" w:cs="Times New Roman"/>
          <w:sz w:val="24"/>
          <w:szCs w:val="24"/>
        </w:rPr>
        <w:t>MODELO DE PETIÇÃO</w:t>
      </w:r>
    </w:p>
    <w:p w:rsidR="0035097E" w:rsidRDefault="00383B01" w:rsidP="0057088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E61E3" w:rsidRPr="00C54192">
        <w:rPr>
          <w:rFonts w:ascii="Arial Black" w:hAnsi="Arial Black" w:cs="Times New Roman"/>
          <w:sz w:val="24"/>
          <w:szCs w:val="24"/>
        </w:rPr>
        <w:t xml:space="preserve">PENHORA. ORDEM DE </w:t>
      </w:r>
      <w:r w:rsidR="0035097E" w:rsidRPr="00C54192">
        <w:rPr>
          <w:rFonts w:ascii="Arial Black" w:hAnsi="Arial Black" w:cs="Times New Roman"/>
          <w:sz w:val="24"/>
          <w:szCs w:val="24"/>
        </w:rPr>
        <w:t>ARROMBAMENTO</w:t>
      </w:r>
    </w:p>
    <w:p w:rsidR="004563B2" w:rsidRPr="00C54192" w:rsidRDefault="004563B2" w:rsidP="004563B2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</w:p>
    <w:p w:rsidR="00C300B3" w:rsidRPr="00570880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C300B3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C300B3" w:rsidRPr="00C300B3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C300B3" w:rsidRPr="0035097E" w:rsidRDefault="0035097E" w:rsidP="0057088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 xml:space="preserve">- Muito embora o art. </w:t>
      </w:r>
      <w:r w:rsidR="00160310">
        <w:rPr>
          <w:rFonts w:ascii="Times New Roman" w:hAnsi="Times New Roman" w:cs="Times New Roman"/>
          <w:sz w:val="24"/>
          <w:szCs w:val="24"/>
        </w:rPr>
        <w:t>846</w:t>
      </w:r>
      <w:r w:rsidRPr="0035097E">
        <w:rPr>
          <w:rFonts w:ascii="Times New Roman" w:hAnsi="Times New Roman" w:cs="Times New Roman"/>
          <w:sz w:val="24"/>
          <w:szCs w:val="24"/>
        </w:rPr>
        <w:t xml:space="preserve"> do CPC fale apenas em “</w:t>
      </w:r>
      <w:r w:rsidRPr="00570880">
        <w:rPr>
          <w:rFonts w:ascii="Times New Roman" w:hAnsi="Times New Roman" w:cs="Times New Roman"/>
          <w:i/>
          <w:sz w:val="24"/>
          <w:szCs w:val="24"/>
        </w:rPr>
        <w:t>portas da casa</w:t>
      </w:r>
      <w:r w:rsidRPr="0035097E">
        <w:rPr>
          <w:rFonts w:ascii="Times New Roman" w:hAnsi="Times New Roman" w:cs="Times New Roman"/>
          <w:sz w:val="24"/>
          <w:szCs w:val="24"/>
        </w:rPr>
        <w:t xml:space="preserve">”, também se aplica por analogia aos casos de pessoas jurídicas. Outrossim, adverte-se a impenhorabilidade dos bens que guarnecem a residência, </w:t>
      </w:r>
      <w:proofErr w:type="spellStart"/>
      <w:r w:rsidRPr="0035097E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35097E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35097E">
        <w:rPr>
          <w:rFonts w:ascii="Times New Roman" w:hAnsi="Times New Roman" w:cs="Times New Roman"/>
          <w:sz w:val="24"/>
          <w:szCs w:val="24"/>
        </w:rPr>
        <w:t xml:space="preserve"> art. </w:t>
      </w:r>
      <w:r w:rsidR="00160310">
        <w:rPr>
          <w:rFonts w:ascii="Times New Roman" w:hAnsi="Times New Roman" w:cs="Times New Roman"/>
          <w:sz w:val="24"/>
          <w:szCs w:val="24"/>
        </w:rPr>
        <w:t>833</w:t>
      </w:r>
      <w:r w:rsidRPr="0035097E">
        <w:rPr>
          <w:rFonts w:ascii="Times New Roman" w:hAnsi="Times New Roman" w:cs="Times New Roman"/>
          <w:sz w:val="24"/>
          <w:szCs w:val="24"/>
        </w:rPr>
        <w:t>, incisos II e III, do CPC</w:t>
      </w:r>
      <w:r w:rsidRPr="0035097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5097E">
        <w:rPr>
          <w:rFonts w:ascii="Times New Roman" w:hAnsi="Times New Roman" w:cs="Times New Roman"/>
          <w:sz w:val="24"/>
          <w:szCs w:val="24"/>
        </w:rPr>
        <w:t>;</w:t>
      </w:r>
    </w:p>
    <w:p w:rsidR="0035097E" w:rsidRPr="0035097E" w:rsidRDefault="0035097E" w:rsidP="00570880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exequ</w:t>
      </w:r>
      <w:r w:rsidRPr="0035097E">
        <w:rPr>
          <w:rFonts w:ascii="Times New Roman" w:hAnsi="Times New Roman" w:cs="Times New Roman"/>
          <w:sz w:val="24"/>
          <w:szCs w:val="24"/>
        </w:rPr>
        <w:t>ente, quando formular o pedido de arrombamento, para que seja efetivado, haverá de dar condições ao Oficial de Justiça, colocando à sua disposição um chaveiro profissional, para abrir os cadeados e fechaduras.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1949EA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35097E">
        <w:rPr>
          <w:rFonts w:ascii="Times New Roman" w:hAnsi="Times New Roman" w:cs="Times New Roman"/>
          <w:sz w:val="24"/>
          <w:szCs w:val="24"/>
        </w:rPr>
        <w:t>e ...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>Execução n. ...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), exequ</w:t>
      </w:r>
      <w:r w:rsidRPr="0035097E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35097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5097E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..., com fulcro nos </w:t>
      </w:r>
      <w:proofErr w:type="spellStart"/>
      <w:r w:rsidRPr="0035097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5097E">
        <w:rPr>
          <w:rFonts w:ascii="Times New Roman" w:hAnsi="Times New Roman" w:cs="Times New Roman"/>
          <w:sz w:val="24"/>
          <w:szCs w:val="24"/>
        </w:rPr>
        <w:t xml:space="preserve">. </w:t>
      </w:r>
      <w:r w:rsidR="00160310">
        <w:rPr>
          <w:rFonts w:ascii="Times New Roman" w:hAnsi="Times New Roman" w:cs="Times New Roman"/>
          <w:sz w:val="24"/>
          <w:szCs w:val="24"/>
        </w:rPr>
        <w:t>845 e 846</w:t>
      </w:r>
      <w:r w:rsidRPr="0035097E">
        <w:rPr>
          <w:rFonts w:ascii="Times New Roman" w:hAnsi="Times New Roman" w:cs="Times New Roman"/>
          <w:sz w:val="24"/>
          <w:szCs w:val="24"/>
        </w:rPr>
        <w:t xml:space="preserve"> do CPC</w:t>
      </w:r>
      <w:r w:rsidR="00C300B3" w:rsidRPr="0035097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5097E">
        <w:rPr>
          <w:rFonts w:ascii="Times New Roman" w:hAnsi="Times New Roman" w:cs="Times New Roman"/>
          <w:sz w:val="24"/>
          <w:szCs w:val="24"/>
        </w:rPr>
        <w:t>, vem, respeitosamente, requerer ORDEM DE ARROMBAMENTO, pelo que passa a aduzir: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>1. O Oficial de Justiça, dando cumprimento ao mandado de penhora e avaliação, dirigiu-se à sede da empresa executada, localizada na sala n. ...</w:t>
      </w:r>
      <w:r w:rsidR="00552E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097E">
        <w:rPr>
          <w:rFonts w:ascii="Times New Roman" w:hAnsi="Times New Roman" w:cs="Times New Roman"/>
          <w:sz w:val="24"/>
          <w:szCs w:val="24"/>
        </w:rPr>
        <w:t>da rua ...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 xml:space="preserve">2. Todavia, embora anunciado na portaria do edifício, ao chegar na sala onde se encontra localizada a executada, o Oficial de Justiça foi impedido de entrar por um funcionário não identificado, fechando a porta e se recusando a dar qualquer justificativa, conforme certidão juntada pelo Meirinho às fls. ... (CPC, art. </w:t>
      </w:r>
      <w:r w:rsidR="00160310">
        <w:rPr>
          <w:rFonts w:ascii="Times New Roman" w:hAnsi="Times New Roman" w:cs="Times New Roman"/>
          <w:sz w:val="24"/>
          <w:szCs w:val="24"/>
        </w:rPr>
        <w:t>846</w:t>
      </w:r>
      <w:r w:rsidRPr="0035097E">
        <w:rPr>
          <w:rFonts w:ascii="Times New Roman" w:hAnsi="Times New Roman" w:cs="Times New Roman"/>
          <w:sz w:val="24"/>
          <w:szCs w:val="24"/>
        </w:rPr>
        <w:t>).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097E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35097E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35097E">
        <w:rPr>
          <w:rFonts w:ascii="Times New Roman" w:hAnsi="Times New Roman" w:cs="Times New Roman"/>
          <w:sz w:val="24"/>
          <w:szCs w:val="24"/>
        </w:rPr>
        <w:t>ente requer: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 xml:space="preserve">a) seja expedido mandado de penhora de bens do executado, com ordem de arrombamento, </w:t>
      </w:r>
      <w:proofErr w:type="gramStart"/>
      <w:r w:rsidRPr="0035097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5097E">
        <w:rPr>
          <w:rFonts w:ascii="Times New Roman" w:hAnsi="Times New Roman" w:cs="Times New Roman"/>
          <w:sz w:val="24"/>
          <w:szCs w:val="24"/>
        </w:rPr>
        <w:t xml:space="preserve"> deverá ser cumprido por 02 (dois) Oficiais de Justiça, obedecendo as formalidades do art. </w:t>
      </w:r>
      <w:r w:rsidR="00160310">
        <w:rPr>
          <w:rFonts w:ascii="Times New Roman" w:hAnsi="Times New Roman" w:cs="Times New Roman"/>
          <w:sz w:val="24"/>
          <w:szCs w:val="24"/>
        </w:rPr>
        <w:t>846§ 1º</w:t>
      </w:r>
      <w:r w:rsidRPr="0035097E">
        <w:rPr>
          <w:rFonts w:ascii="Times New Roman" w:hAnsi="Times New Roman" w:cs="Times New Roman"/>
          <w:sz w:val="24"/>
          <w:szCs w:val="24"/>
        </w:rPr>
        <w:t xml:space="preserve">, autorizando aos Meirinhos, desde já, se necessário, requisitar força policial e proceder </w:t>
      </w:r>
      <w:r w:rsidR="00160310">
        <w:rPr>
          <w:rFonts w:ascii="Times New Roman" w:hAnsi="Times New Roman" w:cs="Times New Roman"/>
          <w:sz w:val="24"/>
          <w:szCs w:val="24"/>
        </w:rPr>
        <w:t>a apuração criminal</w:t>
      </w:r>
      <w:r w:rsidR="0090081B">
        <w:rPr>
          <w:rFonts w:ascii="Times New Roman" w:hAnsi="Times New Roman" w:cs="Times New Roman"/>
          <w:sz w:val="24"/>
          <w:szCs w:val="24"/>
        </w:rPr>
        <w:t xml:space="preserve"> dos eventuais delitos de desobediência</w:t>
      </w:r>
      <w:r w:rsidRPr="0035097E">
        <w:rPr>
          <w:rFonts w:ascii="Times New Roman" w:hAnsi="Times New Roman" w:cs="Times New Roman"/>
          <w:sz w:val="24"/>
          <w:szCs w:val="24"/>
        </w:rPr>
        <w:t xml:space="preserve"> ao cump</w:t>
      </w:r>
      <w:r w:rsidR="00160310">
        <w:rPr>
          <w:rFonts w:ascii="Times New Roman" w:hAnsi="Times New Roman" w:cs="Times New Roman"/>
          <w:sz w:val="24"/>
          <w:szCs w:val="24"/>
        </w:rPr>
        <w:t>rimento da penhora (CPC, art. 846 §§ 2º e 3º</w:t>
      </w:r>
      <w:r w:rsidRPr="0035097E">
        <w:rPr>
          <w:rFonts w:ascii="Times New Roman" w:hAnsi="Times New Roman" w:cs="Times New Roman"/>
          <w:sz w:val="24"/>
          <w:szCs w:val="24"/>
        </w:rPr>
        <w:t>);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>b) seja constado no mandado o nome e o telefone do advogado signatário, (Dr. ..., tel. ...), com a observação para que o Oficial de Justiça en</w:t>
      </w:r>
      <w:r>
        <w:rPr>
          <w:rFonts w:ascii="Times New Roman" w:hAnsi="Times New Roman" w:cs="Times New Roman"/>
          <w:sz w:val="24"/>
          <w:szCs w:val="24"/>
        </w:rPr>
        <w:t>tre em contato, a fim de o exequ</w:t>
      </w:r>
      <w:r w:rsidRPr="0035097E">
        <w:rPr>
          <w:rFonts w:ascii="Times New Roman" w:hAnsi="Times New Roman" w:cs="Times New Roman"/>
          <w:sz w:val="24"/>
          <w:szCs w:val="24"/>
        </w:rPr>
        <w:t>ente lhe auxiliar no que for necessário, objetivando o imediato cumprimento da ordem judicial;</w:t>
      </w: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5097E" w:rsidRPr="0035097E" w:rsidRDefault="0035097E" w:rsidP="0057088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 xml:space="preserve">c) a juntada da guia quitada da diligência retro. </w:t>
      </w:r>
    </w:p>
    <w:p w:rsidR="0035097E" w:rsidRPr="0035097E" w:rsidRDefault="0035097E" w:rsidP="005708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ab/>
      </w:r>
    </w:p>
    <w:p w:rsidR="0035097E" w:rsidRDefault="0035097E" w:rsidP="005708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t>P. Deferimento.</w:t>
      </w:r>
    </w:p>
    <w:p w:rsidR="0035097E" w:rsidRPr="0035097E" w:rsidRDefault="0035097E" w:rsidP="0057088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097E">
        <w:rPr>
          <w:rFonts w:ascii="Times New Roman" w:hAnsi="Times New Roman" w:cs="Times New Roman"/>
          <w:sz w:val="24"/>
          <w:szCs w:val="24"/>
        </w:rPr>
        <w:lastRenderedPageBreak/>
        <w:t>(Local e data)</w:t>
      </w:r>
    </w:p>
    <w:p w:rsidR="00570880" w:rsidRPr="0035097E" w:rsidRDefault="0035097E" w:rsidP="00570880">
      <w:pPr>
        <w:ind w:right="-568"/>
        <w:jc w:val="center"/>
      </w:pPr>
      <w:r w:rsidRPr="0035097E">
        <w:t>(Assinatura e OAB do Advogado)</w:t>
      </w:r>
    </w:p>
    <w:sectPr w:rsidR="00570880" w:rsidRPr="0035097E" w:rsidSect="004563B2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8D" w:rsidRDefault="003E7D8D" w:rsidP="0035097E">
      <w:r>
        <w:separator/>
      </w:r>
    </w:p>
  </w:endnote>
  <w:endnote w:type="continuationSeparator" w:id="0">
    <w:p w:rsidR="003E7D8D" w:rsidRDefault="003E7D8D" w:rsidP="003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8D" w:rsidRDefault="003E7D8D" w:rsidP="0035097E">
      <w:r>
        <w:separator/>
      </w:r>
    </w:p>
  </w:footnote>
  <w:footnote w:type="continuationSeparator" w:id="0">
    <w:p w:rsidR="003E7D8D" w:rsidRDefault="003E7D8D" w:rsidP="0035097E">
      <w:r>
        <w:continuationSeparator/>
      </w:r>
    </w:p>
  </w:footnote>
  <w:footnote w:id="1">
    <w:p w:rsidR="0035097E" w:rsidRPr="0035097E" w:rsidRDefault="0035097E" w:rsidP="00570880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35097E">
        <w:rPr>
          <w:sz w:val="20"/>
          <w:szCs w:val="20"/>
          <w:vertAlign w:val="superscript"/>
        </w:rPr>
        <w:footnoteRef/>
      </w:r>
      <w:r w:rsidR="00160310" w:rsidRPr="00160310">
        <w:rPr>
          <w:b/>
          <w:sz w:val="20"/>
          <w:szCs w:val="20"/>
        </w:rPr>
        <w:t>Art. 833.</w:t>
      </w:r>
      <w:r w:rsidR="00160310" w:rsidRPr="00160310">
        <w:rPr>
          <w:sz w:val="20"/>
          <w:szCs w:val="20"/>
        </w:rPr>
        <w:t xml:space="preserve">  São impenhoráveis:</w:t>
      </w:r>
      <w:r w:rsidR="00C54192">
        <w:rPr>
          <w:sz w:val="20"/>
          <w:szCs w:val="20"/>
        </w:rPr>
        <w:t xml:space="preserve"> </w:t>
      </w:r>
      <w:r w:rsidR="00160310" w:rsidRPr="00160310">
        <w:rPr>
          <w:sz w:val="20"/>
          <w:szCs w:val="20"/>
        </w:rPr>
        <w:t>I - os bens inalienáveis e os declarados, por ato volun</w:t>
      </w:r>
      <w:r w:rsidR="00160310">
        <w:rPr>
          <w:sz w:val="20"/>
          <w:szCs w:val="20"/>
        </w:rPr>
        <w:t xml:space="preserve">tário, não sujeitos à execução; (...) </w:t>
      </w:r>
      <w:r w:rsidR="00160310" w:rsidRPr="00160310">
        <w:rPr>
          <w:sz w:val="20"/>
          <w:szCs w:val="20"/>
        </w:rPr>
        <w:t>III - os vestuários, bem como os pertences de uso pessoal do executado, salvo se de elevado valor;</w:t>
      </w:r>
      <w:r w:rsidR="00160310">
        <w:rPr>
          <w:sz w:val="20"/>
          <w:szCs w:val="20"/>
        </w:rPr>
        <w:t xml:space="preserve"> (...)</w:t>
      </w:r>
    </w:p>
  </w:footnote>
  <w:footnote w:id="2">
    <w:p w:rsidR="00C300B3" w:rsidRDefault="00C300B3" w:rsidP="00570880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b/>
          <w:sz w:val="20"/>
          <w:szCs w:val="20"/>
        </w:rPr>
      </w:pPr>
      <w:r w:rsidRPr="0035097E">
        <w:rPr>
          <w:sz w:val="20"/>
          <w:szCs w:val="20"/>
          <w:vertAlign w:val="superscript"/>
        </w:rPr>
        <w:footnoteRef/>
      </w:r>
      <w:r w:rsidRPr="00C300B3">
        <w:rPr>
          <w:b/>
          <w:sz w:val="20"/>
          <w:szCs w:val="20"/>
        </w:rPr>
        <w:t xml:space="preserve">Art. 845. </w:t>
      </w:r>
      <w:r w:rsidRPr="00C300B3">
        <w:rPr>
          <w:sz w:val="20"/>
          <w:szCs w:val="20"/>
        </w:rPr>
        <w:t>Efetuar-se-á a penhora onde se encontrem os bens, ainda que sob a posse, a detenção ou a guarda de terceiros.</w:t>
      </w:r>
    </w:p>
    <w:p w:rsidR="00C300B3" w:rsidRPr="0035097E" w:rsidRDefault="00C300B3" w:rsidP="00570880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160310">
        <w:rPr>
          <w:b/>
          <w:sz w:val="20"/>
          <w:szCs w:val="20"/>
        </w:rPr>
        <w:t>Art. 846.</w:t>
      </w:r>
      <w:r w:rsidRPr="00160310">
        <w:rPr>
          <w:sz w:val="20"/>
          <w:szCs w:val="20"/>
        </w:rPr>
        <w:t xml:space="preserve">  Se o executado fechar as portas da casa a fim de obstar a penhora dos bens, o oficial de justiça comunicará o fato ao juiz, solicitando-lhe ordem de arrombamento.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7E"/>
    <w:rsid w:val="00160310"/>
    <w:rsid w:val="001949EA"/>
    <w:rsid w:val="00205BAC"/>
    <w:rsid w:val="00322E99"/>
    <w:rsid w:val="003351FD"/>
    <w:rsid w:val="0035097E"/>
    <w:rsid w:val="00383B01"/>
    <w:rsid w:val="003E7D8D"/>
    <w:rsid w:val="004563B2"/>
    <w:rsid w:val="0046752B"/>
    <w:rsid w:val="00552EDD"/>
    <w:rsid w:val="00570880"/>
    <w:rsid w:val="005E2A27"/>
    <w:rsid w:val="00692CDE"/>
    <w:rsid w:val="00695FF0"/>
    <w:rsid w:val="00733649"/>
    <w:rsid w:val="007D200E"/>
    <w:rsid w:val="007D4B5A"/>
    <w:rsid w:val="0090081B"/>
    <w:rsid w:val="00954598"/>
    <w:rsid w:val="009E61E3"/>
    <w:rsid w:val="00B02764"/>
    <w:rsid w:val="00B75F37"/>
    <w:rsid w:val="00C300B3"/>
    <w:rsid w:val="00C54192"/>
    <w:rsid w:val="00CE37E1"/>
    <w:rsid w:val="00D9169C"/>
    <w:rsid w:val="00DD1C30"/>
    <w:rsid w:val="00E346FB"/>
    <w:rsid w:val="00F82EE7"/>
    <w:rsid w:val="00FA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A176"/>
  <w15:docId w15:val="{82F48F58-8E23-41A2-A605-932DF0F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5097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5097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50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9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5097E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35097E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35097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2020-06-29T13:36:00Z</dcterms:created>
  <dcterms:modified xsi:type="dcterms:W3CDTF">2020-08-24T19:35:00Z</dcterms:modified>
</cp:coreProperties>
</file>