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4D" w:rsidRPr="00444968" w:rsidRDefault="00412A4D" w:rsidP="00412A4D">
      <w:pPr>
        <w:suppressAutoHyphens/>
        <w:autoSpaceDE w:val="0"/>
        <w:autoSpaceDN w:val="0"/>
        <w:adjustRightInd w:val="0"/>
        <w:spacing w:line="250" w:lineRule="atLeast"/>
        <w:ind w:left="0" w:right="-567"/>
        <w:jc w:val="center"/>
        <w:textAlignment w:val="center"/>
        <w:rPr>
          <w:rFonts w:ascii="Arial Black" w:hAnsi="Arial Black"/>
          <w:b/>
          <w:color w:val="000000"/>
          <w:spacing w:val="0"/>
          <w:sz w:val="24"/>
          <w:szCs w:val="24"/>
        </w:rPr>
      </w:pPr>
      <w:r w:rsidRPr="00444968">
        <w:rPr>
          <w:rFonts w:ascii="Arial Black" w:hAnsi="Arial Black"/>
          <w:b/>
          <w:color w:val="000000"/>
          <w:spacing w:val="0"/>
          <w:sz w:val="24"/>
          <w:szCs w:val="24"/>
        </w:rPr>
        <w:t>MODELO DE PETIÇÃO</w:t>
      </w:r>
    </w:p>
    <w:p w:rsidR="002B619A" w:rsidRPr="00444968" w:rsidRDefault="006A4DDE" w:rsidP="00412A4D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444968">
        <w:rPr>
          <w:rFonts w:ascii="Arial Black" w:hAnsi="Arial Black" w:cs="Times New Roman"/>
          <w:b/>
          <w:spacing w:val="0"/>
          <w:sz w:val="24"/>
          <w:szCs w:val="24"/>
        </w:rPr>
        <w:t>EXECUÇÃO FISCAL</w:t>
      </w:r>
      <w:r>
        <w:rPr>
          <w:rFonts w:ascii="Arial Black" w:hAnsi="Arial Black" w:cs="Times New Roman"/>
          <w:b/>
          <w:spacing w:val="0"/>
          <w:sz w:val="24"/>
          <w:szCs w:val="24"/>
        </w:rPr>
        <w:t>.</w:t>
      </w:r>
      <w:r w:rsidRPr="00444968">
        <w:rPr>
          <w:rFonts w:ascii="Arial Black" w:hAnsi="Arial Black" w:cs="Times New Roman"/>
          <w:b/>
          <w:spacing w:val="0"/>
          <w:sz w:val="24"/>
          <w:szCs w:val="24"/>
        </w:rPr>
        <w:t xml:space="preserve"> </w:t>
      </w:r>
      <w:r w:rsidR="002B619A" w:rsidRPr="00444968">
        <w:rPr>
          <w:rFonts w:ascii="Arial Black" w:hAnsi="Arial Black" w:cs="Times New Roman"/>
          <w:b/>
          <w:spacing w:val="0"/>
          <w:sz w:val="24"/>
          <w:szCs w:val="24"/>
        </w:rPr>
        <w:t xml:space="preserve">EXCEÇÃO DE PRÉ-EXECUTIVIDADE. </w:t>
      </w:r>
      <w:r>
        <w:rPr>
          <w:rFonts w:ascii="Arial Black" w:hAnsi="Arial Black" w:cs="Times New Roman"/>
          <w:b/>
          <w:spacing w:val="0"/>
          <w:sz w:val="24"/>
          <w:szCs w:val="24"/>
        </w:rPr>
        <w:t>PRESCRIÇÃO</w:t>
      </w:r>
    </w:p>
    <w:p w:rsidR="00412A4D" w:rsidRPr="00444968" w:rsidRDefault="00412A4D" w:rsidP="00412A4D">
      <w:pPr>
        <w:pStyle w:val="Ttulo"/>
        <w:spacing w:before="0" w:after="0" w:line="240" w:lineRule="auto"/>
        <w:ind w:right="-567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444968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Exmo. Sr. Juiz de Direito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Vara </w:t>
      </w:r>
      <w:r w:rsidR="00412A4D"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Comarca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Proc. n. ...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>(nome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da empresa, endereço</w:t>
      </w:r>
      <w:r w:rsidR="00C15092">
        <w:rPr>
          <w:rFonts w:ascii="Times New Roman" w:hAnsi="Times New Roman" w:cs="Times New Roman"/>
          <w:spacing w:val="0"/>
          <w:sz w:val="24"/>
          <w:szCs w:val="24"/>
        </w:rPr>
        <w:t>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CNPJ</w:t>
      </w:r>
      <w:r w:rsidR="00C15092">
        <w:rPr>
          <w:rFonts w:ascii="Times New Roman" w:hAnsi="Times New Roman" w:cs="Times New Roman"/>
          <w:spacing w:val="0"/>
          <w:sz w:val="24"/>
          <w:szCs w:val="24"/>
        </w:rPr>
        <w:t xml:space="preserve"> e e-mail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por seu advogado </w:t>
      </w:r>
      <w:r w:rsidRPr="002B619A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assinado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2B619A">
        <w:rPr>
          <w:rFonts w:ascii="Times New Roman" w:hAnsi="Times New Roman" w:cs="Times New Roman"/>
          <w:i/>
          <w:spacing w:val="0"/>
          <w:sz w:val="24"/>
          <w:szCs w:val="24"/>
        </w:rPr>
        <w:t>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instrumento de procuração em anexo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0"/>
          <w:sz w:val="24"/>
          <w:szCs w:val="24"/>
        </w:rPr>
        <w:t>vem</w:t>
      </w:r>
      <w:r w:rsidR="00412A4D">
        <w:rPr>
          <w:rFonts w:ascii="Times New Roman" w:hAnsi="Times New Roman" w:cs="Times New Roman"/>
          <w:spacing w:val="0"/>
          <w:sz w:val="24"/>
          <w:szCs w:val="24"/>
        </w:rPr>
        <w:t>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respeitosamente,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nos autos de execução fiscal por dívida ativa que lhe move a União Federal, opor a presente EXCEÇÃO DE PRÉ - EXECUTIVIDADE pelos motivos a seguir expostos: 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F5F69" w:rsidRPr="004C2679" w:rsidRDefault="00B2636A" w:rsidP="004C267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4C2679">
        <w:rPr>
          <w:rFonts w:ascii="Times New Roman" w:hAnsi="Times New Roman" w:cs="Times New Roman"/>
          <w:spacing w:val="0"/>
          <w:sz w:val="24"/>
          <w:szCs w:val="24"/>
        </w:rPr>
        <w:t>I- PRESCRIÇÃO - Extinção da Execução</w:t>
      </w:r>
    </w:p>
    <w:p w:rsidR="00B2636A" w:rsidRPr="00B2636A" w:rsidRDefault="00B2636A" w:rsidP="00412A4D">
      <w:pPr>
        <w:ind w:left="0" w:right="-567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1. A União </w:t>
      </w:r>
      <w:proofErr w:type="gramStart"/>
      <w:r w:rsidRPr="002B619A">
        <w:rPr>
          <w:rFonts w:ascii="Times New Roman" w:hAnsi="Times New Roman" w:cs="Times New Roman"/>
          <w:spacing w:val="0"/>
          <w:sz w:val="24"/>
          <w:szCs w:val="24"/>
        </w:rPr>
        <w:t>pela presente</w:t>
      </w:r>
      <w:proofErr w:type="gramEnd"/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 execução fiscal ajuizada, pretende receber débitos tributários 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 xml:space="preserve">previdenciários/INSS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inscritos na dívida ativa, conforme relação que constou da inicial.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 2. Não há dúvida de que o crédito tributário se formaliza pelo lançamento e notificação do sujeito passivo e não pela sua inscrição na dívida ativa. 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B2636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3. Como se pode observar 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 xml:space="preserve">pela data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da 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nscrição da dívida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ativa ...</w:t>
      </w:r>
      <w:proofErr w:type="gramEnd"/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, a partir dos documentos que instruem a inicial, 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 xml:space="preserve">que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os créditos em questão encontram</w:t>
      </w: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se PRESCRITOS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 xml:space="preserve">, pois constituídos há mais de 05 (cinco) anos. E neste particular o ínclito STF editou a Súmula Vinculante n. 08, que ratificou o entendimento majoritário dos Tribunais Superiores de que as dívidas com o INSS poderiam ser constituídas ou cobradas no prazo de 05 (cinco) anos, conforme prevê o Código Tributário Nacional, e não de 10 (dez) anos como prescreviam os </w:t>
      </w:r>
      <w:proofErr w:type="spellStart"/>
      <w:r w:rsidR="00B2636A">
        <w:rPr>
          <w:rFonts w:ascii="Times New Roman" w:hAnsi="Times New Roman" w:cs="Times New Roman"/>
          <w:spacing w:val="0"/>
          <w:sz w:val="24"/>
          <w:szCs w:val="24"/>
        </w:rPr>
        <w:t>arts</w:t>
      </w:r>
      <w:proofErr w:type="spellEnd"/>
      <w:r w:rsidR="00B2636A">
        <w:rPr>
          <w:rFonts w:ascii="Times New Roman" w:hAnsi="Times New Roman" w:cs="Times New Roman"/>
          <w:spacing w:val="0"/>
          <w:sz w:val="24"/>
          <w:szCs w:val="24"/>
        </w:rPr>
        <w:t>. 45 e 46 da Lei 8.212/91.</w:t>
      </w:r>
    </w:p>
    <w:p w:rsidR="00092D33" w:rsidRDefault="00092D33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>E o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 Código Tributário Nacion</w:t>
      </w:r>
      <w:r w:rsidR="00092D33">
        <w:rPr>
          <w:rFonts w:ascii="Times New Roman" w:hAnsi="Times New Roman" w:cs="Times New Roman"/>
          <w:spacing w:val="0"/>
          <w:sz w:val="24"/>
          <w:szCs w:val="24"/>
        </w:rPr>
        <w:t xml:space="preserve">al prevê em seu art. 173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que são de </w:t>
      </w:r>
      <w:r w:rsidR="00C15092">
        <w:rPr>
          <w:rFonts w:ascii="Times New Roman" w:hAnsi="Times New Roman" w:cs="Times New Roman"/>
          <w:spacing w:val="0"/>
          <w:sz w:val="24"/>
          <w:szCs w:val="24"/>
        </w:rPr>
        <w:t>05 (cinco)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 anos os prazos</w:t>
      </w:r>
      <w:r w:rsidR="000F5F69">
        <w:rPr>
          <w:rFonts w:ascii="Times New Roman" w:hAnsi="Times New Roman" w:cs="Times New Roman"/>
          <w:spacing w:val="0"/>
          <w:sz w:val="24"/>
          <w:szCs w:val="24"/>
        </w:rPr>
        <w:t xml:space="preserve"> prescricionais e decadenciais, </w:t>
      </w:r>
      <w:proofErr w:type="spellStart"/>
      <w:r w:rsidR="000F5F69">
        <w:rPr>
          <w:rFonts w:ascii="Times New Roman" w:hAnsi="Times New Roman" w:cs="Times New Roman"/>
          <w:i/>
          <w:spacing w:val="0"/>
          <w:sz w:val="24"/>
          <w:szCs w:val="24"/>
        </w:rPr>
        <w:t>ex</w:t>
      </w:r>
      <w:proofErr w:type="spellEnd"/>
      <w:r w:rsidR="000F5F69">
        <w:rPr>
          <w:rFonts w:ascii="Times New Roman" w:hAnsi="Times New Roman" w:cs="Times New Roman"/>
          <w:i/>
          <w:spacing w:val="0"/>
          <w:sz w:val="24"/>
          <w:szCs w:val="24"/>
        </w:rPr>
        <w:t xml:space="preserve"> legis</w:t>
      </w:r>
      <w:r w:rsidR="000F5F69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0F5F69" w:rsidRDefault="000F5F69" w:rsidP="000F5F6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F5F69" w:rsidRPr="000F5F69" w:rsidRDefault="000F5F69" w:rsidP="004C267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4C2679">
        <w:rPr>
          <w:rFonts w:ascii="Times New Roman" w:hAnsi="Times New Roman" w:cs="Times New Roman"/>
          <w:spacing w:val="0"/>
          <w:sz w:val="24"/>
          <w:szCs w:val="24"/>
        </w:rPr>
        <w:t>CTN, art. 173.</w:t>
      </w:r>
      <w:r w:rsidRPr="000F5F69">
        <w:rPr>
          <w:rFonts w:ascii="Times New Roman" w:hAnsi="Times New Roman" w:cs="Times New Roman"/>
          <w:spacing w:val="0"/>
          <w:sz w:val="24"/>
          <w:szCs w:val="24"/>
        </w:rPr>
        <w:t xml:space="preserve"> O direito de a Fazenda Pública constituir o crédito tributário extingue-se após </w:t>
      </w:r>
      <w:proofErr w:type="gramStart"/>
      <w:r w:rsidRPr="000F5F69">
        <w:rPr>
          <w:rFonts w:ascii="Times New Roman" w:hAnsi="Times New Roman" w:cs="Times New Roman"/>
          <w:spacing w:val="0"/>
          <w:sz w:val="24"/>
          <w:szCs w:val="24"/>
        </w:rPr>
        <w:t>5</w:t>
      </w:r>
      <w:proofErr w:type="gramEnd"/>
      <w:r w:rsidRPr="000F5F69">
        <w:rPr>
          <w:rFonts w:ascii="Times New Roman" w:hAnsi="Times New Roman" w:cs="Times New Roman"/>
          <w:spacing w:val="0"/>
          <w:sz w:val="24"/>
          <w:szCs w:val="24"/>
        </w:rPr>
        <w:t xml:space="preserve"> (cinco) anos, contados: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0F5F69">
        <w:rPr>
          <w:rFonts w:ascii="Times New Roman" w:hAnsi="Times New Roman" w:cs="Times New Roman"/>
          <w:spacing w:val="0"/>
          <w:sz w:val="24"/>
          <w:szCs w:val="24"/>
        </w:rPr>
        <w:t>I - do primeiro dia do exercício seguinte àquele em que o lançamento poderia ter sido efetuado;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0F5F69">
        <w:rPr>
          <w:rFonts w:ascii="Times New Roman" w:hAnsi="Times New Roman" w:cs="Times New Roman"/>
          <w:spacing w:val="0"/>
          <w:sz w:val="24"/>
          <w:szCs w:val="24"/>
        </w:rPr>
        <w:t>II - da data em que se tornar definitiva a decisão que houver anulado, por vício formal, o lançamento anteriormente efetuado.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0F5F69">
        <w:rPr>
          <w:rFonts w:ascii="Times New Roman" w:hAnsi="Times New Roman" w:cs="Times New Roman"/>
          <w:spacing w:val="0"/>
          <w:sz w:val="24"/>
          <w:szCs w:val="24"/>
        </w:rPr>
        <w:t>Parágrafo único. O direito a que se refere este artigo extingue-se definitivamente com o decurso do prazo nele previsto, contado da data em que tenha sido iniciada a constituição do crédito tributário pela notificação, ao sujeito passivo, de qualquer medida preparatória indispensável ao lançamento.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5. Veja-se que os créditos reclamados na mencionada certidão de dívida ativa tiveram seus vencimentos ocorridos no ano de 2003, estando, portanto, </w:t>
      </w:r>
      <w:r w:rsidR="00C15092">
        <w:rPr>
          <w:rFonts w:ascii="Times New Roman" w:hAnsi="Times New Roman" w:cs="Times New Roman"/>
          <w:spacing w:val="0"/>
          <w:sz w:val="24"/>
          <w:szCs w:val="24"/>
        </w:rPr>
        <w:t xml:space="preserve">absolutamente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prescritos. 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B15564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>6. É evidente que os dados existentes na Certi</w:t>
      </w:r>
      <w:r>
        <w:rPr>
          <w:rFonts w:ascii="Times New Roman" w:hAnsi="Times New Roman" w:cs="Times New Roman"/>
          <w:spacing w:val="0"/>
          <w:sz w:val="24"/>
          <w:szCs w:val="24"/>
        </w:rPr>
        <w:t>dão de Dívida Ativa são conside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rados como prova inequívo</w:t>
      </w:r>
      <w:r>
        <w:rPr>
          <w:rFonts w:ascii="Times New Roman" w:hAnsi="Times New Roman" w:cs="Times New Roman"/>
          <w:spacing w:val="0"/>
          <w:sz w:val="24"/>
          <w:szCs w:val="24"/>
        </w:rPr>
        <w:t>ca para acolher exceção de pré-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executividade, por ter sido demonstrada de plano a prescrição pretendida</w:t>
      </w:r>
      <w:r w:rsidR="00B1556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B15564" w:rsidRDefault="00B15564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lastRenderedPageBreak/>
        <w:t>7. Portanto, é necessário destacar e por ser caso específico dos autos que, a função da exceção de pré-executividade é atacar a execução fundada em créditos com a exigibilidade suspensa ou extinta, ou em títulos carentes dos requisitos de exigibilidade legalmente exigidos. Esta ferramenta jurídica provoca o reexame prévio do juízo de admissibilidade e com isto, revela as manchas que invalidam o prosseguimento do feito. A exceção evita a efetivação de um processo executivo constituído de forma irregular ou infu</w:t>
      </w:r>
      <w:r>
        <w:rPr>
          <w:rFonts w:ascii="Times New Roman" w:hAnsi="Times New Roman" w:cs="Times New Roman"/>
          <w:spacing w:val="0"/>
          <w:sz w:val="24"/>
          <w:szCs w:val="24"/>
        </w:rPr>
        <w:t>n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dada e, via de consequência, evita a efetivação da penhora. 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8. O processo executivo é sempre fundado em título certo, líquido e exigível, ou seja, na falta de qualquer desses pressupostos tem-se por inexistente a chamada ausência de certeza do título, sendo que esta nulidade do título pode ser arguida por simples petição, uma vez que suscetível de exame de ofício pelo juiz. 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9. Portanto, comprovado assim que a presente execução fiscal não está fundada em título certo, líquido e exigível e faltando esses pressupostos, a prescrição é passível de ser analisada no bojo da exceção de pré- executividade. 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="000F5F69">
        <w:rPr>
          <w:rFonts w:ascii="Times New Roman" w:hAnsi="Times New Roman" w:cs="Times New Roman"/>
          <w:spacing w:val="0"/>
          <w:sz w:val="24"/>
          <w:szCs w:val="24"/>
        </w:rPr>
        <w:t xml:space="preserve">A propósito, adequado a veiculação desta via petitória a teor da 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Súmula 393</w:t>
      </w:r>
      <w:r w:rsidR="000F5F69">
        <w:rPr>
          <w:rFonts w:ascii="Times New Roman" w:hAnsi="Times New Roman" w:cs="Times New Roman"/>
          <w:spacing w:val="0"/>
          <w:sz w:val="24"/>
          <w:szCs w:val="24"/>
        </w:rPr>
        <w:t>/STJ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>: “</w:t>
      </w:r>
      <w:r w:rsidRPr="002B619A">
        <w:rPr>
          <w:rFonts w:ascii="Times New Roman" w:hAnsi="Times New Roman" w:cs="Times New Roman"/>
          <w:i/>
          <w:spacing w:val="0"/>
          <w:sz w:val="24"/>
          <w:szCs w:val="24"/>
        </w:rPr>
        <w:t>A exceção de pré-executividade é admissível na execução fiscal relativamente às matérias conhecíveis de ofício que não demandem dilação probatória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”, caso específico do presente feito, considerando que o débito se refere ao ano de 2003, estando prescrito. 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Pr="000F5F69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11</w:t>
      </w:r>
      <w:r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0F5F69">
        <w:rPr>
          <w:rFonts w:ascii="Times New Roman" w:hAnsi="Times New Roman" w:cs="Times New Roman"/>
          <w:spacing w:val="0"/>
          <w:sz w:val="24"/>
          <w:szCs w:val="24"/>
        </w:rPr>
        <w:t xml:space="preserve">E por ser matéria de direito, o colendo STJ editou a Súmula 409, possibilitando o decreto de ofício da prescrição, cuja leitura por si só é esclarecedora: </w:t>
      </w:r>
      <w:r w:rsidR="000F5F69">
        <w:rPr>
          <w:rFonts w:ascii="Times New Roman" w:hAnsi="Times New Roman" w:cs="Times New Roman"/>
          <w:i/>
          <w:spacing w:val="0"/>
          <w:sz w:val="24"/>
          <w:szCs w:val="24"/>
        </w:rPr>
        <w:t>“Em execução fiscal, a prescrição ocorrida antes da propositura da ação pode ser decretada de ofício (art. 219, § 5º, do CPC)”</w:t>
      </w:r>
      <w:r w:rsidR="000F5F6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0F5F69" w:rsidRDefault="000F5F69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B2636A" w:rsidRDefault="00B2636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4C2679">
        <w:rPr>
          <w:rFonts w:ascii="Times New Roman" w:hAnsi="Times New Roman" w:cs="Times New Roman"/>
          <w:spacing w:val="0"/>
          <w:sz w:val="24"/>
          <w:szCs w:val="24"/>
        </w:rPr>
        <w:t>II- PEDIDOS</w:t>
      </w:r>
      <w:proofErr w:type="gramEnd"/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B619A" w:rsidRDefault="006A4DDE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12</w:t>
      </w:r>
      <w:r w:rsidR="002B619A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2B619A"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2B619A" w:rsidRPr="002B619A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2B619A" w:rsidRPr="002B619A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2B619A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2B619A" w:rsidRPr="002B619A">
        <w:rPr>
          <w:rFonts w:ascii="Times New Roman" w:hAnsi="Times New Roman" w:cs="Times New Roman"/>
          <w:spacing w:val="0"/>
          <w:sz w:val="24"/>
          <w:szCs w:val="24"/>
        </w:rPr>
        <w:t xml:space="preserve"> requer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 xml:space="preserve"> O ACOLHIMENTO DA PRESENTE EXCEÇÃO DE PRÉ-EXECUTIVIDADE para:</w:t>
      </w:r>
    </w:p>
    <w:p w:rsidR="00B2636A" w:rsidRDefault="00B2636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B2636A" w:rsidRDefault="004C2679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a) 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>decretar a prescrição do crédito tributário exequendo, extinguindo-se o processo de execução com resolução do mérito</w:t>
      </w:r>
      <w:r w:rsidR="006A4DDE">
        <w:rPr>
          <w:rFonts w:ascii="Times New Roman" w:hAnsi="Times New Roman" w:cs="Times New Roman"/>
          <w:spacing w:val="0"/>
          <w:sz w:val="24"/>
          <w:szCs w:val="24"/>
        </w:rPr>
        <w:t xml:space="preserve"> (CPC, art. 487, II)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B2636A" w:rsidRDefault="00B2636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B2636A" w:rsidRDefault="004C2679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="00B2636A">
        <w:rPr>
          <w:rFonts w:ascii="Times New Roman" w:hAnsi="Times New Roman" w:cs="Times New Roman"/>
          <w:spacing w:val="0"/>
          <w:sz w:val="24"/>
          <w:szCs w:val="24"/>
        </w:rPr>
        <w:t>a condenação do exequente ao pagamento dos honorários advocatícios ao patrono do executado</w:t>
      </w:r>
      <w:r w:rsidR="006A4DDE">
        <w:rPr>
          <w:rFonts w:ascii="Times New Roman" w:hAnsi="Times New Roman" w:cs="Times New Roman"/>
          <w:spacing w:val="0"/>
          <w:sz w:val="24"/>
          <w:szCs w:val="24"/>
        </w:rPr>
        <w:t xml:space="preserve"> (CPC, art. 85, §§ 2º e 3º).</w:t>
      </w:r>
    </w:p>
    <w:p w:rsidR="002B619A" w:rsidRDefault="002B619A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2B619A" w:rsidRDefault="002B619A" w:rsidP="00412A4D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333805">
        <w:rPr>
          <w:rFonts w:ascii="Times New Roman" w:hAnsi="Times New Roman" w:cs="Times New Roman"/>
          <w:spacing w:val="0"/>
          <w:sz w:val="24"/>
          <w:szCs w:val="24"/>
        </w:rPr>
        <w:t>Pede deferimento.</w:t>
      </w:r>
    </w:p>
    <w:p w:rsidR="002B619A" w:rsidRDefault="002B619A" w:rsidP="00412A4D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>ocal e data)</w:t>
      </w:r>
    </w:p>
    <w:p w:rsidR="002B619A" w:rsidRPr="00333805" w:rsidRDefault="002B619A" w:rsidP="00412A4D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 xml:space="preserve">ssinatura e </w:t>
      </w:r>
      <w:r>
        <w:rPr>
          <w:rFonts w:ascii="Times New Roman" w:hAnsi="Times New Roman" w:cs="Times New Roman"/>
          <w:spacing w:val="0"/>
          <w:sz w:val="24"/>
          <w:szCs w:val="24"/>
        </w:rPr>
        <w:t>OAB do A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>dvogado)</w:t>
      </w:r>
    </w:p>
    <w:p w:rsidR="006B3321" w:rsidRPr="002B619A" w:rsidRDefault="006B3321" w:rsidP="00412A4D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sectPr w:rsidR="006B3321" w:rsidRPr="002B619A" w:rsidSect="00412A4D">
      <w:pgSz w:w="11906" w:h="16838"/>
      <w:pgMar w:top="1418" w:right="1701" w:bottom="1418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9A"/>
    <w:rsid w:val="00092D33"/>
    <w:rsid w:val="000F5F69"/>
    <w:rsid w:val="002B619A"/>
    <w:rsid w:val="00412A4D"/>
    <w:rsid w:val="00444968"/>
    <w:rsid w:val="00486D3C"/>
    <w:rsid w:val="004C2679"/>
    <w:rsid w:val="006A4DDE"/>
    <w:rsid w:val="006B3321"/>
    <w:rsid w:val="0071349B"/>
    <w:rsid w:val="008A52C8"/>
    <w:rsid w:val="00A66B7B"/>
    <w:rsid w:val="00B15564"/>
    <w:rsid w:val="00B2636A"/>
    <w:rsid w:val="00C15092"/>
    <w:rsid w:val="00C623E5"/>
    <w:rsid w:val="00F22ED5"/>
    <w:rsid w:val="00F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12A4D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412A4D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2A4D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12A4D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412A4D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2A4D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2</cp:revision>
  <dcterms:created xsi:type="dcterms:W3CDTF">2020-08-10T20:21:00Z</dcterms:created>
  <dcterms:modified xsi:type="dcterms:W3CDTF">2020-08-10T20:21:00Z</dcterms:modified>
</cp:coreProperties>
</file>