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A" w:rsidRPr="00C666DA" w:rsidRDefault="00C666DA" w:rsidP="00C666D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666DA">
        <w:rPr>
          <w:rFonts w:ascii="Arial Black" w:hAnsi="Arial Black" w:cs="Times New Roman"/>
          <w:sz w:val="24"/>
          <w:szCs w:val="24"/>
        </w:rPr>
        <w:t>MODELO DE PETIÇÃO</w:t>
      </w:r>
    </w:p>
    <w:p w:rsidR="005F3D13" w:rsidRPr="00C666DA" w:rsidRDefault="005F3D13" w:rsidP="00C666D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666DA">
        <w:rPr>
          <w:rFonts w:ascii="Arial Black" w:hAnsi="Arial Black" w:cs="Times New Roman"/>
          <w:sz w:val="24"/>
          <w:szCs w:val="24"/>
        </w:rPr>
        <w:t>EXECUÇÃO FISCAL</w:t>
      </w:r>
      <w:r w:rsidR="00C9724A" w:rsidRPr="00C666DA">
        <w:rPr>
          <w:rFonts w:ascii="Arial Black" w:hAnsi="Arial Black" w:cs="Times New Roman"/>
          <w:sz w:val="24"/>
          <w:szCs w:val="24"/>
        </w:rPr>
        <w:t>. EMBARGOS À EXECUÇÃO</w:t>
      </w:r>
      <w:r w:rsidRPr="00C666DA">
        <w:rPr>
          <w:rFonts w:ascii="Arial Black" w:hAnsi="Arial Black" w:cs="Times New Roman"/>
          <w:sz w:val="24"/>
          <w:szCs w:val="24"/>
        </w:rPr>
        <w:t>.</w:t>
      </w:r>
      <w:r w:rsidR="008029CC" w:rsidRPr="00C666DA">
        <w:rPr>
          <w:rFonts w:ascii="Arial Black" w:hAnsi="Arial Black" w:cs="Times New Roman"/>
          <w:sz w:val="24"/>
          <w:szCs w:val="24"/>
        </w:rPr>
        <w:t xml:space="preserve"> </w:t>
      </w:r>
    </w:p>
    <w:p w:rsidR="008029CC" w:rsidRDefault="008029CC" w:rsidP="00C666DA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C666DA">
        <w:rPr>
          <w:rFonts w:ascii="Arial Black" w:hAnsi="Arial Black" w:cs="Times New Roman"/>
          <w:sz w:val="24"/>
          <w:szCs w:val="24"/>
        </w:rPr>
        <w:t>INEXIGIBILIDADE DO TÍTULO</w:t>
      </w:r>
    </w:p>
    <w:p w:rsidR="006806D7" w:rsidRPr="008613C1" w:rsidRDefault="006806D7" w:rsidP="006806D7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C666DA" w:rsidRPr="008029CC" w:rsidRDefault="00C666DA" w:rsidP="006806D7">
      <w:pPr>
        <w:pStyle w:val="Ttulo"/>
        <w:spacing w:before="0" w:after="0" w:line="240" w:lineRule="auto"/>
        <w:ind w:right="-568"/>
        <w:jc w:val="left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5F3D13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5F3D13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5F3D13" w:rsidRDefault="008029CC" w:rsidP="00C666DA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- O embargante poderá alegar em sua defesa toda matéria de seu interesse, requerendo a produção de provas em direito permitidas, juntar os documentos que entender necessário e apresentar rol de testemunhas (Lei n. 6.830/80, art. 16, § 2º</w:t>
      </w:r>
      <w:r w:rsidR="005F3D13">
        <w:rPr>
          <w:rFonts w:ascii="Times New Roman" w:hAnsi="Times New Roman" w:cs="Times New Roman"/>
          <w:sz w:val="24"/>
          <w:szCs w:val="24"/>
        </w:rPr>
        <w:t>)</w:t>
      </w:r>
      <w:r w:rsidR="005F3D13" w:rsidRPr="005F3D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3D13" w:rsidRPr="008029C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5F3D13">
        <w:rPr>
          <w:rFonts w:ascii="Times New Roman" w:hAnsi="Times New Roman" w:cs="Times New Roman"/>
          <w:sz w:val="24"/>
          <w:szCs w:val="24"/>
        </w:rPr>
        <w:t>;</w:t>
      </w:r>
    </w:p>
    <w:p w:rsidR="005F3D13" w:rsidRDefault="00C666DA" w:rsidP="00C666DA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D13">
        <w:rPr>
          <w:rFonts w:ascii="Times New Roman" w:hAnsi="Times New Roman" w:cs="Times New Roman"/>
          <w:sz w:val="24"/>
          <w:szCs w:val="24"/>
        </w:rPr>
        <w:t>o</w:t>
      </w:r>
      <w:r w:rsidR="005F3D13" w:rsidRPr="008029CC">
        <w:rPr>
          <w:rFonts w:ascii="Times New Roman" w:hAnsi="Times New Roman" w:cs="Times New Roman"/>
          <w:sz w:val="24"/>
          <w:szCs w:val="24"/>
        </w:rPr>
        <w:t xml:space="preserve"> prazo para opor embargos à execução fiscal inicia quando da ocorrência de qualquer dos incisos I, II ou III do art. 16 da Lei n. 6.830/80</w:t>
      </w:r>
      <w:r w:rsidR="005F3D13" w:rsidRPr="008029C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5F3D13">
        <w:rPr>
          <w:rFonts w:ascii="Times New Roman" w:hAnsi="Times New Roman" w:cs="Times New Roman"/>
          <w:sz w:val="24"/>
          <w:szCs w:val="24"/>
        </w:rPr>
        <w:t>;</w:t>
      </w:r>
    </w:p>
    <w:p w:rsidR="005F3D13" w:rsidRPr="008029CC" w:rsidRDefault="005F3D13" w:rsidP="00C666DA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029CC">
        <w:rPr>
          <w:rFonts w:ascii="Times New Roman" w:hAnsi="Times New Roman" w:cs="Times New Roman"/>
          <w:sz w:val="24"/>
          <w:szCs w:val="24"/>
        </w:rPr>
        <w:t xml:space="preserve">ão serão admitidos embargos à execução antes de garantida a execução por meio de penhora,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Pr="008029CC">
        <w:rPr>
          <w:rFonts w:ascii="Times New Roman" w:hAnsi="Times New Roman" w:cs="Times New Roman"/>
          <w:sz w:val="24"/>
          <w:szCs w:val="24"/>
        </w:rPr>
        <w:t xml:space="preserve"> art. 16, § 1º, da Lei n. 6.830/80</w:t>
      </w:r>
      <w:r w:rsidRPr="008029C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029CC">
        <w:rPr>
          <w:rFonts w:ascii="Times New Roman" w:hAnsi="Times New Roman" w:cs="Times New Roman"/>
          <w:sz w:val="24"/>
          <w:szCs w:val="24"/>
        </w:rPr>
        <w:t>.</w:t>
      </w:r>
    </w:p>
    <w:p w:rsidR="005F3D13" w:rsidRDefault="005F3D13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Exmo. Sr. Dr. Juiz de Direito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da ...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Vara Cível da Comarca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Distribuição por dependência à execução fiscal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(nome, qualificação, endereço</w:t>
      </w:r>
      <w:r>
        <w:rPr>
          <w:rFonts w:ascii="Times New Roman" w:hAnsi="Times New Roman" w:cs="Times New Roman"/>
          <w:sz w:val="24"/>
          <w:szCs w:val="24"/>
        </w:rPr>
        <w:t xml:space="preserve"> e CPF</w:t>
      </w:r>
      <w:r w:rsidRPr="008029CC">
        <w:rPr>
          <w:rFonts w:ascii="Times New Roman" w:hAnsi="Times New Roman" w:cs="Times New Roman"/>
          <w:sz w:val="24"/>
          <w:szCs w:val="24"/>
        </w:rPr>
        <w:t xml:space="preserve">), executado, por seu advogado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029CC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8029CC">
        <w:rPr>
          <w:rFonts w:ascii="Times New Roman" w:hAnsi="Times New Roman" w:cs="Times New Roman"/>
          <w:sz w:val="24"/>
          <w:szCs w:val="24"/>
        </w:rPr>
        <w:t xml:space="preserve">instrumento de procuração e contrato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social anexados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(doc. n. ...), nos autos da execução fiscal epi</w:t>
      </w:r>
      <w:r>
        <w:rPr>
          <w:rFonts w:ascii="Times New Roman" w:hAnsi="Times New Roman" w:cs="Times New Roman"/>
          <w:sz w:val="24"/>
          <w:szCs w:val="24"/>
        </w:rPr>
        <w:t>grafada promovida por ..., exequ</w:t>
      </w:r>
      <w:r w:rsidRPr="008029CC">
        <w:rPr>
          <w:rFonts w:ascii="Times New Roman" w:hAnsi="Times New Roman" w:cs="Times New Roman"/>
          <w:sz w:val="24"/>
          <w:szCs w:val="24"/>
        </w:rPr>
        <w:t>ente, vem, respeitosamente, opor os presentes EMBARGOS À EXECUÇÃO FISCAL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com fulcro </w:t>
      </w:r>
      <w:r w:rsidR="005F3D13">
        <w:rPr>
          <w:rFonts w:ascii="Times New Roman" w:hAnsi="Times New Roman" w:cs="Times New Roman"/>
          <w:sz w:val="24"/>
          <w:szCs w:val="24"/>
        </w:rPr>
        <w:t>no</w:t>
      </w:r>
      <w:r w:rsidRPr="008029CC">
        <w:rPr>
          <w:rFonts w:ascii="Times New Roman" w:hAnsi="Times New Roman" w:cs="Times New Roman"/>
          <w:sz w:val="24"/>
          <w:szCs w:val="24"/>
        </w:rPr>
        <w:t xml:space="preserve"> art.16 da Lei n. 6.830/80, frente à execução fiscal n. ...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pelas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razões de fato e de  direito adiante aduzidas: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I – TEMPESTIVIDADE DOS EMBARGOS À EXECUÇÃO FISCAL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8029CC">
        <w:rPr>
          <w:rFonts w:ascii="Times New Roman" w:hAnsi="Times New Roman" w:cs="Times New Roman"/>
          <w:sz w:val="24"/>
          <w:szCs w:val="24"/>
        </w:rPr>
        <w:t xml:space="preserve">, há de ser ressaltada a tempestividade dos presentes embargos à execução, dentro do trintídio legal (Lei n. 6.830/80, art. 16, inciso III – Lei de Execução Fiscal), vez que o embargante foi intimado da penhora há 20 dias, conforme cópia do auto de penhora juntado nessa oportunidade (doc.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>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II – PROCEDÊNCIAS DOS EMBARGOS À EXECUÇÃO FISCAL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CC" w:rsidRPr="008029CC" w:rsidRDefault="008029CC" w:rsidP="00C666D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9CC">
        <w:rPr>
          <w:rFonts w:ascii="Times New Roman" w:hAnsi="Times New Roman" w:cs="Times New Roman"/>
          <w:sz w:val="24"/>
          <w:szCs w:val="24"/>
        </w:rPr>
        <w:t>II.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>1 – DESCONSTITUIÇÃO DA CERTIDÃO DA DÍVIDA ATIVA – INEXIGÍVEL A CRIAÇÃO DO TÍTULO EXTRAJUDICIAL POR “</w:t>
      </w:r>
      <w:r w:rsidRPr="00C666DA">
        <w:rPr>
          <w:rFonts w:ascii="Times New Roman" w:hAnsi="Times New Roman" w:cs="Times New Roman"/>
          <w:i/>
          <w:sz w:val="24"/>
          <w:szCs w:val="24"/>
        </w:rPr>
        <w:t>ARBITRAMENTO</w:t>
      </w:r>
      <w:r w:rsidRPr="008029CC">
        <w:rPr>
          <w:rFonts w:ascii="Times New Roman" w:hAnsi="Times New Roman" w:cs="Times New Roman"/>
          <w:sz w:val="24"/>
          <w:szCs w:val="24"/>
        </w:rPr>
        <w:t>” BASEADO EXCLUSIVAMENTE EM HIPÓTESES EXTRAÍDAS DE RECLAMATÓRIAS TRABALHISTAS</w:t>
      </w:r>
    </w:p>
    <w:p w:rsidR="008029CC" w:rsidRPr="008029CC" w:rsidRDefault="008029CC" w:rsidP="00C666DA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Necessário afirmar que embora a CDA se constitua num título executivo formado unilateralmente pelo credor, permite-se que se discuta amplamente o mérito da cobrança, dentro do expect</w:t>
      </w:r>
      <w:r w:rsidR="00BE187E">
        <w:rPr>
          <w:rFonts w:ascii="Times New Roman" w:hAnsi="Times New Roman" w:cs="Times New Roman"/>
          <w:sz w:val="24"/>
          <w:szCs w:val="24"/>
        </w:rPr>
        <w:t>r</w:t>
      </w:r>
      <w:r w:rsidRPr="008029CC">
        <w:rPr>
          <w:rFonts w:ascii="Times New Roman" w:hAnsi="Times New Roman" w:cs="Times New Roman"/>
          <w:sz w:val="24"/>
          <w:szCs w:val="24"/>
        </w:rPr>
        <w:t>o maior de defesa albergado na Carta Magna</w:t>
      </w:r>
      <w:r w:rsidRPr="008029C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029CC">
        <w:rPr>
          <w:rFonts w:ascii="Times New Roman" w:hAnsi="Times New Roman" w:cs="Times New Roman"/>
          <w:sz w:val="24"/>
          <w:szCs w:val="24"/>
        </w:rPr>
        <w:t xml:space="preserve">, abrindo-se a discussão judicial,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>, por intermédio dos presentes embargos à execução.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pacing w:val="-4"/>
          <w:sz w:val="24"/>
          <w:szCs w:val="24"/>
        </w:rPr>
        <w:lastRenderedPageBreak/>
        <w:t>3.</w:t>
      </w:r>
      <w:r w:rsidRPr="008029C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pacing w:val="-4"/>
          <w:sz w:val="24"/>
          <w:szCs w:val="24"/>
        </w:rPr>
        <w:t>O cenário que se afigura neste processado mostra de maneira brutal e inconteste ser um inadmissível arbítrio por parte do fisco, emergindo daí a inexigibilidade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do título exequ</w:t>
      </w:r>
      <w:r w:rsidRPr="008029CC">
        <w:rPr>
          <w:rFonts w:ascii="Times New Roman" w:hAnsi="Times New Roman" w:cs="Times New Roman"/>
          <w:spacing w:val="-4"/>
          <w:sz w:val="24"/>
          <w:szCs w:val="24"/>
        </w:rPr>
        <w:t>endo.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  <w:u w:val="thick" w:color="000000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4.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>, a exação fiscal foi gerada por “</w:t>
      </w:r>
      <w:r w:rsidRPr="00C666DA">
        <w:rPr>
          <w:rFonts w:ascii="Times New Roman" w:hAnsi="Times New Roman" w:cs="Times New Roman"/>
          <w:i/>
          <w:sz w:val="24"/>
          <w:szCs w:val="24"/>
        </w:rPr>
        <w:t>arbitramento</w:t>
      </w:r>
      <w:r w:rsidRPr="008029CC">
        <w:rPr>
          <w:rFonts w:ascii="Times New Roman" w:hAnsi="Times New Roman" w:cs="Times New Roman"/>
          <w:sz w:val="24"/>
          <w:szCs w:val="24"/>
        </w:rPr>
        <w:t>” pelo fisco, alegando que não houve recolhimento da contribuição previdenciária dos empregados. Essa conclusão adveio exclusivamente nas petições iniciais de reclamatórias trabalhistas.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5. No processo administrativo fiscal não se apresentou nenhum documento extraído da contabilidade da empresa dando guarida ao fato gerador da CDA. 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6. Destarte, inexigível a criação do título judicial calcado em hipóteses oriundas de reclamatórias trabalhistas, sem localizar na contabilidade da empresa qualquer documento nesse sentido.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7.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CELSO ANTONIO BANDEIRA DE MELLO, com a autoridade que se lhe reconhece, preleciona que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“a busca pela verdade real e material é princípio de observância indeclinável da Administração tributária no âmbito de suas atividades procedimentais e processuais”</w:t>
      </w:r>
      <w:r w:rsidRPr="008029CC">
        <w:rPr>
          <w:rFonts w:ascii="Times New Roman" w:hAnsi="Times New Roman" w:cs="Times New Roman"/>
          <w:sz w:val="24"/>
          <w:szCs w:val="24"/>
        </w:rPr>
        <w:t xml:space="preserve"> (Curso de Direito Administrativo, ed. Malheiros, 9ª ed., p. 246).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8.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JAMES MARINS, tributarista de escol, adverte que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“variadas práticas adotadas pela Administração fazendária conspiram contra a busca da verdade material. Presunções tributárias, ficções legais, pautas fiscais, arbitramentos tributários, substituições ‘para frente’ e outros expedientes de semelhante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jaez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, quando utilizados desnecessariamente, operando como autêntico ‘atalho’ ao dever de investigação,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conculcam</w:t>
      </w:r>
      <w:proofErr w:type="spell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o primado da verdade material, e muitas vezes, sequer satisfazem a verdade formal”</w:t>
      </w:r>
      <w:r w:rsidRPr="008029CC">
        <w:rPr>
          <w:rFonts w:ascii="Times New Roman" w:hAnsi="Times New Roman" w:cs="Times New Roman"/>
          <w:sz w:val="24"/>
          <w:szCs w:val="24"/>
        </w:rPr>
        <w:t xml:space="preserve"> (Direito Processual Tributário Brasileiro, ed. Dialética, 3ª ed., p. 181).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9.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Por maior que seja a voracidade de tributar, característica marcante do fisco pátrio, muito embora a prestação dos serviços pagos pelos trabalhadores não acompanha a força da taxação, não se pode tolerar a imposição baseada em indício e presunção de uma situação fática </w:t>
      </w:r>
      <w:r w:rsidRPr="008029CC">
        <w:rPr>
          <w:rFonts w:ascii="Times New Roman" w:hAnsi="Times New Roman" w:cs="Times New Roman"/>
          <w:bCs/>
          <w:sz w:val="24"/>
          <w:szCs w:val="24"/>
        </w:rPr>
        <w:t>INVERÍDICA E MENDAZ</w:t>
      </w:r>
      <w:r w:rsidRPr="008029CC">
        <w:rPr>
          <w:rFonts w:ascii="Times New Roman" w:hAnsi="Times New Roman" w:cs="Times New Roman"/>
          <w:sz w:val="24"/>
          <w:szCs w:val="24"/>
        </w:rPr>
        <w:t>, calcada em situações isoladas.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10.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Distante qualquer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indício</w:t>
      </w:r>
      <w:r w:rsidRPr="008029CC">
        <w:rPr>
          <w:rFonts w:ascii="Times New Roman" w:hAnsi="Times New Roman" w:cs="Times New Roman"/>
          <w:sz w:val="24"/>
          <w:szCs w:val="24"/>
        </w:rPr>
        <w:t xml:space="preserve"> de que a empresa embargante paga salários fora da folha aos seus empregados por quase uma década em número representativo de 2.000 (duas) mil pessoas.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11.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A nível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i/>
          <w:iCs/>
          <w:sz w:val="24"/>
          <w:szCs w:val="24"/>
          <w:u w:color="000000"/>
        </w:rPr>
        <w:t>documental</w:t>
      </w:r>
      <w:r w:rsidRPr="008029CC">
        <w:rPr>
          <w:rFonts w:ascii="Times New Roman" w:hAnsi="Times New Roman" w:cs="Times New Roman"/>
          <w:sz w:val="24"/>
          <w:szCs w:val="24"/>
        </w:rPr>
        <w:t xml:space="preserve"> não se colheu na contabilidade da empresa nenhuma circunstância indiciária certa, da qual se pudesse tirar uma indução lógica, uma conclusão acerca da subsistência dos fatos geradores da exação.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12.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REGINALDO DE FRANÇA é contundente,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verbo ad verbum</w:t>
      </w:r>
      <w:r w:rsidRPr="008029CC">
        <w:rPr>
          <w:rFonts w:ascii="Times New Roman" w:hAnsi="Times New Roman" w:cs="Times New Roman"/>
          <w:sz w:val="24"/>
          <w:szCs w:val="24"/>
        </w:rPr>
        <w:t xml:space="preserve">: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“A presunção, se utilizada no ato de lançamento, apresenta grande probabilidade de equívoco, porque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estaria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exteriorizando aspectos subjetivos do agente lançador, como sua experiência em situações fáticas anteriores que podem não ser aplicadas ao caso em exame. As presunções comuns podem ser importantes como meio e não como fim na atividade fiscalizatória”</w:t>
      </w:r>
      <w:r w:rsidRPr="008029CC">
        <w:rPr>
          <w:rFonts w:ascii="Times New Roman" w:hAnsi="Times New Roman" w:cs="Times New Roman"/>
          <w:sz w:val="24"/>
          <w:szCs w:val="24"/>
        </w:rPr>
        <w:t xml:space="preserve"> (Fiscalização Tributária – Prerrogativas e Limites, ed. Juruá, 2003, p. 135).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C666DA" w:rsidRDefault="008029CC" w:rsidP="00C666DA">
      <w:pPr>
        <w:pStyle w:val="Text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C666DA">
        <w:rPr>
          <w:rFonts w:ascii="Times New Roman" w:hAnsi="Times New Roman" w:cs="Times New Roman"/>
          <w:sz w:val="24"/>
          <w:szCs w:val="24"/>
        </w:rPr>
        <w:t>13.</w:t>
      </w:r>
      <w:r w:rsidRPr="00C66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6DA">
        <w:rPr>
          <w:rFonts w:ascii="Times New Roman" w:hAnsi="Times New Roman" w:cs="Times New Roman"/>
          <w:sz w:val="24"/>
          <w:szCs w:val="24"/>
        </w:rPr>
        <w:t xml:space="preserve">O título executivo fiscal, objeto de combate nesta sede processual, restou amparado num </w:t>
      </w:r>
      <w:r w:rsidRPr="00C666DA">
        <w:rPr>
          <w:rFonts w:ascii="Times New Roman" w:hAnsi="Times New Roman" w:cs="Times New Roman"/>
          <w:i/>
          <w:iCs/>
          <w:sz w:val="24"/>
          <w:szCs w:val="24"/>
        </w:rPr>
        <w:t>arbitramento</w:t>
      </w:r>
      <w:r w:rsidRPr="00C666DA">
        <w:rPr>
          <w:rFonts w:ascii="Times New Roman" w:hAnsi="Times New Roman" w:cs="Times New Roman"/>
          <w:sz w:val="24"/>
          <w:szCs w:val="24"/>
        </w:rPr>
        <w:t xml:space="preserve"> inseguro, mesmo com todo aparato documental da contabilidade realçando o </w:t>
      </w:r>
      <w:r w:rsidRPr="00C666DA">
        <w:rPr>
          <w:rFonts w:ascii="Times New Roman" w:hAnsi="Times New Roman" w:cs="Times New Roman"/>
          <w:sz w:val="24"/>
          <w:szCs w:val="24"/>
        </w:rPr>
        <w:lastRenderedPageBreak/>
        <w:t xml:space="preserve">contrário do propósito custoso de taxar e multar caracterizado na execução em apenso, </w:t>
      </w:r>
      <w:proofErr w:type="spellStart"/>
      <w:r w:rsidRPr="00C666DA">
        <w:rPr>
          <w:rFonts w:ascii="Times New Roman" w:hAnsi="Times New Roman" w:cs="Times New Roman"/>
          <w:i/>
          <w:iCs/>
          <w:sz w:val="24"/>
          <w:szCs w:val="24"/>
        </w:rPr>
        <w:t>rogata</w:t>
      </w:r>
      <w:proofErr w:type="spellEnd"/>
      <w:r w:rsidRPr="00C666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66DA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C666DA">
        <w:rPr>
          <w:rFonts w:ascii="Times New Roman" w:hAnsi="Times New Roman" w:cs="Times New Roman"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14.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Com efeito, o arbítrio será sempre rechaçado porque é a antítese do Estado de Direito.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15.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FERNANDO JOSÉ DUTRA MARTUSCELLI vem a florescer as posturas aqui defendidas: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“não se deve confundir arbitramento com arbítrio. Arbitrar não é cometer ato de arbítrio, pelo tão simples e elementar fato de que nenhuma norma jurídica pode atribuir competência a um sujeito jurídico para lesar o ordenamento jurídico”</w:t>
      </w:r>
      <w:r w:rsidRPr="008029CC">
        <w:rPr>
          <w:rFonts w:ascii="Times New Roman" w:hAnsi="Times New Roman" w:cs="Times New Roman"/>
          <w:sz w:val="24"/>
          <w:szCs w:val="24"/>
        </w:rPr>
        <w:t xml:space="preserve"> (Código de Defesa do Contribuinte, Líder Cultura Jurídica, 2001, p. 94).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16.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Princípio norteador no direito tributário preconizado no </w:t>
      </w:r>
      <w:r w:rsidRPr="008029CC">
        <w:rPr>
          <w:rFonts w:ascii="Times New Roman" w:hAnsi="Times New Roman" w:cs="Times New Roman"/>
          <w:bCs/>
          <w:sz w:val="24"/>
          <w:szCs w:val="24"/>
        </w:rPr>
        <w:t>art. 142 do Código Tributário Nacional</w:t>
      </w:r>
      <w:r w:rsidRPr="008029CC">
        <w:rPr>
          <w:rFonts w:ascii="Times New Roman" w:hAnsi="Times New Roman" w:cs="Times New Roman"/>
          <w:sz w:val="24"/>
          <w:szCs w:val="24"/>
        </w:rPr>
        <w:t xml:space="preserve"> consagra a indispensabilidade da demonstração inequívoca da ocorrência do fato gerador. </w:t>
      </w:r>
      <w:r w:rsidRPr="008029CC">
        <w:rPr>
          <w:rFonts w:ascii="Times New Roman" w:hAnsi="Times New Roman" w:cs="Times New Roman"/>
          <w:bCs/>
          <w:sz w:val="24"/>
          <w:szCs w:val="24"/>
        </w:rPr>
        <w:t>NUNCA</w:t>
      </w:r>
      <w:r w:rsidRPr="008029CC">
        <w:rPr>
          <w:rFonts w:ascii="Times New Roman" w:hAnsi="Times New Roman" w:cs="Times New Roman"/>
          <w:sz w:val="24"/>
          <w:szCs w:val="24"/>
        </w:rPr>
        <w:t xml:space="preserve"> pode o fisco se valer de simples presunções.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17.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Vem bem a </w:t>
      </w:r>
      <w:proofErr w:type="spellStart"/>
      <w:r w:rsidRPr="008029CC">
        <w:rPr>
          <w:rFonts w:ascii="Times New Roman" w:hAnsi="Times New Roman" w:cs="Times New Roman"/>
          <w:sz w:val="24"/>
          <w:szCs w:val="24"/>
        </w:rPr>
        <w:t>pêlo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 xml:space="preserve"> o pronunciamento de LEONARDO SPERB DE PAOLA, ao ensinar que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“o arbitramento não confere à autoridade lançadora uma carta em branco para tributar o que quer que seja, hipótese na qual teria caráter punitivo. O administrador continua vinculado à busca da verdade material, devendo apresentar resultados tão aproximados da verdade quanto possível (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...) É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importante salientar que o comportamento do contribuinte, no que diz respeito à sua maior ou menor colaboração, não libera o administrador da busca da verdade material, não possibilitando, por si só, o recurso à prova indiciária. Independentemente da vontade do contribuinte, o Fisco continua obrigado a demonstrar, da forma mais aproximada possível, a ocorrência do fato jurídico tributário e, especialmente, de sua dimensão econômica”</w:t>
      </w:r>
      <w:r w:rsidRPr="008029CC">
        <w:rPr>
          <w:rFonts w:ascii="Times New Roman" w:hAnsi="Times New Roman" w:cs="Times New Roman"/>
          <w:sz w:val="24"/>
          <w:szCs w:val="24"/>
        </w:rPr>
        <w:t xml:space="preserve"> (Presunções e Ficções no Direito Tributário, ed. Del Rey, 1997, p. 251 e 251).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18.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O egrégio </w:t>
      </w:r>
      <w:r w:rsidRPr="008029CC">
        <w:rPr>
          <w:rFonts w:ascii="Times New Roman" w:hAnsi="Times New Roman" w:cs="Times New Roman"/>
          <w:bCs/>
          <w:sz w:val="24"/>
          <w:szCs w:val="24"/>
        </w:rPr>
        <w:t>TRIBUNAL REGIONAL FEDERAL DA 1ª REGIÃO</w:t>
      </w:r>
      <w:r w:rsidRPr="008029CC">
        <w:rPr>
          <w:rFonts w:ascii="Times New Roman" w:hAnsi="Times New Roman" w:cs="Times New Roman"/>
          <w:sz w:val="24"/>
          <w:szCs w:val="24"/>
        </w:rPr>
        <w:t xml:space="preserve"> não admite que o fisco despreze a documentação contábil e regular apresentada pelo contribuinte, para proceder a lançamentos por arbitramento, como realizado na execução combatida.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Eis a ementa: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“TRIBUTÁRIO E PROCESSUAL CIVIL.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EMBARGOS À EXECUÇÃO. EXISTÊNCIA DE REGISTROS CONTÁBEIS. INADEQUAÇÃO DO ARBITRAMENTO DE LUCRO.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>1. Não é lícito o arbitramento de lucro, quando existentes e regulares os registros contábeis comprovados por perícia técnica realizada.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Sendo insubsistentes os lançamentos fiscais, correta a sentença que julgou procedentes os embargos à execução fiscal.”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Remarcou o relator no voto condutor: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>“O arbitramento realizado pelo INSS, para embasar a ação fiscal contra a Apelada, não possui adequação com a realidade fática comprovada pela perícia técnica realizada (...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Em tais situações a jurisprudência desta Corte tem se posicionado no sentido a insubsistência do título executivo, ante a prova robusta no sentido na inadequação do arbitramento do lucro”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>TRIBUTÁRIO. IMPOSTO DE RENDA. ARBITRAMENTO DE LUCRO. IMPOSSIBILIDADE. EXISTÊNCIA DE ESCRITURAÇÃO CONTÁBIL. REGULAR E IDÔNEA. PROVA PERICIAL CONTÁBIL.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lastRenderedPageBreak/>
        <w:t>Em matéria de arbitramento de lucro, a perícia contábil é essencial para a solução do feito. O laudo pericial elaborado por perito contábil de forma fundamentada e esclarecedora não corrobora a ação de fiscalização, mas, sim, de modo contrário, aponta falhas na mesma.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pacing w:val="-4"/>
          <w:sz w:val="24"/>
          <w:szCs w:val="24"/>
        </w:rPr>
        <w:t>Restou demonstrado no presente caso, através da prova pericial, que a Autora mantinha escrituração contábil regular e idônea para a determinação de seu lucro real tributável, ficando ilidida a presunção de veracidade do auto de infração fiscal.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Assim, uma vez que o Fisco não provou que a escrita contábil da Autora continha erros ou irregularidades, sendo que era possível apurar-se o lucro pelos documentos fiscais apresentados, não era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lícito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que procedesse ao seu arbitramento.” – REO 95.01.23323-5/AP, Rel. Juíza Sônia Diniz Viana, Convocada, DJU 17.12.1999</w:t>
      </w:r>
      <w:r w:rsidRPr="008029CC">
        <w:rPr>
          <w:rFonts w:ascii="Times New Roman" w:hAnsi="Times New Roman" w:cs="Times New Roman"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>Assim sendo, restou demonstrado que a escrita contábil da empresa era regular e possuía os elementos necessários para a apuração do lucro, sendo inadequado o arbitramento efetuado.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Em suma: não estavam presentes os requisitos legais para a realização do arbitramento do lucro da empresa.”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(TRF – 1ª Região, </w:t>
      </w:r>
      <w:proofErr w:type="spellStart"/>
      <w:r w:rsidRPr="008029C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>. Cível n. 1997.01.00.041373-3/MG).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19.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Assim, ante a regularidade formal da contabilidade da empresa embargante, não poderia o fisco-embargado desprezar as informações nela constantes, para se valer de critérios subjetivos, que não se apresentam sequer com elementos seguros.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20.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No transcorrer da etapa de instrução desses embargos, será provado à saciedade, na esteira do posicionamento do TRIBUNAL REGIONAL FEDERAL DA 1ª REGIÃO, que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“o procedimento revisional de lançamento, através de arbitramento, tem caráter excepcional. Hipótese em que o julgamento antecipado da lide, nos termos do parágrafo único do art. 740 do CPC, culminou em cerceamento de defesa, por não ter sido dada oportunidade à Embargante para descaracterizar ou reduzir o débito que lhe foi arbitrado”.</w:t>
      </w:r>
      <w:r w:rsidRPr="008029CC">
        <w:rPr>
          <w:rFonts w:ascii="Times New Roman" w:hAnsi="Times New Roman" w:cs="Times New Roman"/>
          <w:sz w:val="24"/>
          <w:szCs w:val="24"/>
        </w:rPr>
        <w:t xml:space="preserve"> (doc.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– íntegra da apelação cível n.93.01.20044.9/BA).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21.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Por tudo exposto, impõe-se </w:t>
      </w:r>
      <w:r w:rsidRPr="008029CC">
        <w:rPr>
          <w:rFonts w:ascii="Times New Roman" w:hAnsi="Times New Roman" w:cs="Times New Roman"/>
          <w:bCs/>
          <w:sz w:val="24"/>
          <w:szCs w:val="24"/>
        </w:rPr>
        <w:t>SEJAM JULGADOS PROCEDENTES OS PRESENTES EMBARGOS À EXECUÇÃO, DESCONSTITUINDO-SE INTEGRALMENTE O INEXEGÍVEL TÍTULO EXTRAJUDICIAL EXEQÜENDO</w:t>
      </w:r>
      <w:r w:rsidRPr="008029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9CC" w:rsidRPr="008029CC" w:rsidRDefault="008029CC" w:rsidP="00C666D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2 – REDUÇÃO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DA MULTA MORATÓRIA DE 60% PREVISTA NO ART. 35, INCISO II, DA LEI N. 8.212/91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– CARÁTER CONFISCATÓRIO DA MULTA INADMISSÍVEL PELA CONSTITUIÇÃO FEDERAL.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– JURISPRUDÊNCIA IMPÕE REDUÇÃO PARA PERCENTUAL VARIÁVEL DE 10% A 20%, COMPATÍVEL COM A REALIDADE INFLACIONÁRIA DO PAÍS, SEM PERDER O SENTIDO DE REPRIMENDA.</w:t>
      </w:r>
    </w:p>
    <w:p w:rsidR="008029CC" w:rsidRPr="008029CC" w:rsidRDefault="008029CC" w:rsidP="00C666DA">
      <w:pPr>
        <w:pStyle w:val="Noparagraphstyle"/>
        <w:suppressAutoHyphens/>
        <w:ind w:right="-568"/>
        <w:jc w:val="both"/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22.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Indubitavelmente, a multa moratória imposta pelo embargado, no percentual de 60% (sessenta por cento) sobre o valor do débito atualizado, é ILEGAL, INCONSTITUCIONAL E ABUSIVA,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23.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Na vanguarda do melhor direito, o princípio geral é do equilíbrio nas relações, afastando um trato de desequilíbrio entre as partes. A mora não pode mais ser encarada como uma penalidade extrema, levando a quebra o devedor ante um percentual elevado, que tornaria impossível o pagamento e ao mesmo tempo a bancarrota do devedor.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Dentro deste espírito, saudado pelos militantes de um direito sadio, veio o Código de Defesa do Consumidor e o Código Civil vigente, prevendo de maneira categórica que o percentual a título de multa moratória não poderia ultrapassar a 2% (dois por cento).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pacing w:val="-4"/>
          <w:sz w:val="24"/>
          <w:szCs w:val="24"/>
        </w:rPr>
        <w:t>25.</w:t>
      </w:r>
      <w:r w:rsidRPr="008029C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pacing w:val="-4"/>
          <w:sz w:val="24"/>
          <w:szCs w:val="24"/>
        </w:rPr>
        <w:t>Paralelamente, tem-se que o índice inflacionário do país gira em torno de 5% (cinco por cento) ao ano. Embora seja um número razoável, noutra vereda, a economia do Brasil é instável, deixando as empresas e os comerciantes utilizar o seu lucro basicamente para cobrir as despesas da própria manutenção.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26.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A </w:t>
      </w:r>
      <w:r w:rsidRPr="008029CC">
        <w:rPr>
          <w:rFonts w:ascii="Times New Roman" w:hAnsi="Times New Roman" w:cs="Times New Roman"/>
          <w:bCs/>
          <w:sz w:val="24"/>
          <w:szCs w:val="24"/>
        </w:rPr>
        <w:t>CONSTITUIÇÃO FEDERAL</w:t>
      </w:r>
      <w:r w:rsidRPr="008029CC">
        <w:rPr>
          <w:rFonts w:ascii="Times New Roman" w:hAnsi="Times New Roman" w:cs="Times New Roman"/>
          <w:sz w:val="24"/>
          <w:szCs w:val="24"/>
        </w:rPr>
        <w:t xml:space="preserve">, na Seção II, intitulada </w:t>
      </w:r>
      <w:r w:rsidRPr="008029CC">
        <w:rPr>
          <w:rFonts w:ascii="Times New Roman" w:hAnsi="Times New Roman" w:cs="Times New Roman"/>
          <w:bCs/>
          <w:sz w:val="24"/>
          <w:szCs w:val="24"/>
        </w:rPr>
        <w:t>DAS LIMITAÇÕES DO PODER DE TRIBUTAR</w:t>
      </w:r>
      <w:r w:rsidRPr="008029CC">
        <w:rPr>
          <w:rFonts w:ascii="Times New Roman" w:hAnsi="Times New Roman" w:cs="Times New Roman"/>
          <w:sz w:val="24"/>
          <w:szCs w:val="24"/>
        </w:rPr>
        <w:t xml:space="preserve">, com clareza solar prevê a </w:t>
      </w:r>
      <w:r w:rsidRPr="008029CC">
        <w:rPr>
          <w:rFonts w:ascii="Times New Roman" w:hAnsi="Times New Roman" w:cs="Times New Roman"/>
          <w:bCs/>
          <w:sz w:val="24"/>
          <w:szCs w:val="24"/>
        </w:rPr>
        <w:t>PROIBIÇÃO EXPLÍCITA</w:t>
      </w:r>
      <w:r w:rsidRPr="008029CC">
        <w:rPr>
          <w:rFonts w:ascii="Times New Roman" w:hAnsi="Times New Roman" w:cs="Times New Roman"/>
          <w:sz w:val="24"/>
          <w:szCs w:val="24"/>
        </w:rPr>
        <w:t xml:space="preserve"> da cobrança de tributos com efeito de confisco, consoante leitura do </w:t>
      </w:r>
      <w:r w:rsidRPr="008029CC">
        <w:rPr>
          <w:rFonts w:ascii="Times New Roman" w:hAnsi="Times New Roman" w:cs="Times New Roman"/>
          <w:bCs/>
          <w:sz w:val="24"/>
          <w:szCs w:val="24"/>
        </w:rPr>
        <w:t>art. 150, inciso IV</w:t>
      </w:r>
      <w:r w:rsidRPr="008029CC">
        <w:rPr>
          <w:rFonts w:ascii="Times New Roman" w:hAnsi="Times New Roman" w:cs="Times New Roman"/>
          <w:sz w:val="24"/>
          <w:szCs w:val="24"/>
        </w:rPr>
        <w:t xml:space="preserve">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8029CC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029CC">
        <w:rPr>
          <w:rFonts w:ascii="Times New Roman" w:hAnsi="Times New Roman" w:cs="Times New Roman"/>
          <w:sz w:val="24"/>
          <w:szCs w:val="24"/>
        </w:rPr>
        <w:t>“</w:t>
      </w:r>
      <w:r w:rsidRPr="008029CC">
        <w:rPr>
          <w:rFonts w:ascii="Times New Roman" w:hAnsi="Times New Roman" w:cs="Times New Roman"/>
          <w:bCs/>
          <w:i/>
          <w:sz w:val="24"/>
          <w:szCs w:val="24"/>
        </w:rPr>
        <w:t>DAS LIMITAÇÕES DO PODER DE TRIBUTAR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8029CC">
        <w:rPr>
          <w:rFonts w:ascii="Times New Roman" w:hAnsi="Times New Roman" w:cs="Times New Roman"/>
          <w:i/>
          <w:sz w:val="24"/>
          <w:szCs w:val="24"/>
        </w:rPr>
        <w:t xml:space="preserve">Art. 150. Sem prejuízo de outras garantias asseguradas ao contribuinte, é vedado à União, aos Estados, ao Distrito Federal e aos Municípios: 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029CC">
        <w:rPr>
          <w:rFonts w:ascii="Times New Roman" w:hAnsi="Times New Roman" w:cs="Times New Roman"/>
          <w:i/>
          <w:sz w:val="24"/>
          <w:szCs w:val="24"/>
        </w:rPr>
        <w:t>omissis</w:t>
      </w:r>
      <w:proofErr w:type="spellEnd"/>
      <w:proofErr w:type="gramEnd"/>
      <w:r w:rsidRPr="008029CC">
        <w:rPr>
          <w:rFonts w:ascii="Times New Roman" w:hAnsi="Times New Roman" w:cs="Times New Roman"/>
          <w:i/>
          <w:sz w:val="24"/>
          <w:szCs w:val="24"/>
        </w:rPr>
        <w:t>...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8029CC">
        <w:rPr>
          <w:rFonts w:ascii="Times New Roman" w:hAnsi="Times New Roman" w:cs="Times New Roman"/>
          <w:i/>
          <w:sz w:val="24"/>
          <w:szCs w:val="24"/>
        </w:rPr>
        <w:t>IV – utilizar tributo com efeito de confisco;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8029CC">
        <w:rPr>
          <w:rFonts w:ascii="Times New Roman" w:hAnsi="Times New Roman" w:cs="Times New Roman"/>
          <w:i/>
          <w:sz w:val="24"/>
          <w:szCs w:val="24"/>
        </w:rPr>
        <w:t>omissis</w:t>
      </w:r>
      <w:proofErr w:type="spellEnd"/>
      <w:proofErr w:type="gramEnd"/>
      <w:r w:rsidRPr="008029CC">
        <w:rPr>
          <w:rFonts w:ascii="Times New Roman" w:hAnsi="Times New Roman" w:cs="Times New Roman"/>
          <w:i/>
          <w:sz w:val="24"/>
          <w:szCs w:val="24"/>
        </w:rPr>
        <w:t>...”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27.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Pretende a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Mater</w:t>
      </w:r>
      <w:proofErr w:type="spell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impedir que a infração tributária não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gere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uma pena ao contribuinte equivalente ao confisco dos seus bens, beneficiando o fisco com um </w:t>
      </w:r>
      <w:proofErr w:type="spell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plus</w:t>
      </w:r>
      <w:proofErr w:type="spellEnd"/>
      <w:r w:rsidRPr="008029CC">
        <w:rPr>
          <w:rFonts w:ascii="Times New Roman" w:hAnsi="Times New Roman" w:cs="Times New Roman"/>
          <w:sz w:val="24"/>
          <w:szCs w:val="24"/>
        </w:rPr>
        <w:t xml:space="preserve"> consistente num “enriquecimento” ilícito às custas e como fruto do ilíci</w:t>
      </w:r>
      <w:r>
        <w:rPr>
          <w:rFonts w:ascii="Times New Roman" w:hAnsi="Times New Roman" w:cs="Times New Roman"/>
          <w:sz w:val="24"/>
          <w:szCs w:val="24"/>
        </w:rPr>
        <w:t>to.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28.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Com sua acuidade e sensibilidade, SACHA CALMON NAVARRO COELHO prega com inteira proveniência: “a multa excessiva ultrapassando o razoável para dissuadir ações ilícitas e para punir os transgressores (caracteres punitivo e preventivo da penalidade) caracteriza, de fato, uma maneira indireta de burlar o dispositivo constitucional que proíbe o confisco.” (Sanções Tributárias, RDT 11/12, p. 138).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29.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Assim, o </w:t>
      </w:r>
      <w:r w:rsidRPr="008029CC">
        <w:rPr>
          <w:rFonts w:ascii="Times New Roman" w:hAnsi="Times New Roman" w:cs="Times New Roman"/>
          <w:bCs/>
          <w:sz w:val="24"/>
          <w:szCs w:val="24"/>
        </w:rPr>
        <w:t>art. 150, inciso IV, da Constituição Federal da República</w:t>
      </w:r>
      <w:r w:rsidRPr="008029CC">
        <w:rPr>
          <w:rFonts w:ascii="Times New Roman" w:hAnsi="Times New Roman" w:cs="Times New Roman"/>
          <w:sz w:val="24"/>
          <w:szCs w:val="24"/>
        </w:rPr>
        <w:t xml:space="preserve"> impossibilita a desarrazoada penalidade cobrada pelo fisco de 60% (sessenta por cento) sobre o valor do débito corrigido a título de multa moratória. Uma penalidade deste vulto significa dizer a inviabilidade financeira da empresa embargante, ultrajando sua capacidade contributiva.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pacing w:val="-2"/>
          <w:sz w:val="24"/>
          <w:szCs w:val="24"/>
        </w:rPr>
        <w:t>30.</w:t>
      </w:r>
      <w:r w:rsidRPr="008029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pacing w:val="-2"/>
          <w:sz w:val="24"/>
          <w:szCs w:val="24"/>
        </w:rPr>
        <w:t xml:space="preserve">O princípio da capacidade contributiva do contribuinte e a vedação do confisco são hoje princípios constitucionais expressos em matéria tributária, </w:t>
      </w:r>
      <w:proofErr w:type="spellStart"/>
      <w:r w:rsidRPr="008029CC">
        <w:rPr>
          <w:rFonts w:ascii="Times New Roman" w:hAnsi="Times New Roman" w:cs="Times New Roman"/>
          <w:i/>
          <w:iCs/>
          <w:spacing w:val="-2"/>
          <w:sz w:val="24"/>
          <w:szCs w:val="24"/>
        </w:rPr>
        <w:t>ex</w:t>
      </w:r>
      <w:proofErr w:type="spellEnd"/>
      <w:r w:rsidRPr="008029C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vi</w:t>
      </w:r>
      <w:r w:rsidRPr="00802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029CC">
        <w:rPr>
          <w:rFonts w:ascii="Times New Roman" w:hAnsi="Times New Roman" w:cs="Times New Roman"/>
          <w:bCs/>
          <w:spacing w:val="-2"/>
          <w:sz w:val="24"/>
          <w:szCs w:val="24"/>
        </w:rPr>
        <w:t>arts</w:t>
      </w:r>
      <w:proofErr w:type="spellEnd"/>
      <w:r w:rsidRPr="008029CC">
        <w:rPr>
          <w:rFonts w:ascii="Times New Roman" w:hAnsi="Times New Roman" w:cs="Times New Roman"/>
          <w:bCs/>
          <w:spacing w:val="-2"/>
          <w:sz w:val="24"/>
          <w:szCs w:val="24"/>
        </w:rPr>
        <w:t>. 145, § 1º, e 150 da Constituição Federal</w:t>
      </w:r>
      <w:r w:rsidRPr="008029C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31.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Incumbe ao Poder Judiciário que não apenas os tributos, mas também as penalidades fiscais, quando excessivas ou confiscatórias, estão sujeitos ao controle jurisdicional. A exclusão ou redução da multa pelo Poder Judiciário é decorrente do princípio da inafastabilidade, no sistema jurídico vigente, do controle jurisdicional, a teor do </w:t>
      </w:r>
      <w:r w:rsidRPr="008029CC">
        <w:rPr>
          <w:rFonts w:ascii="Times New Roman" w:hAnsi="Times New Roman" w:cs="Times New Roman"/>
          <w:bCs/>
          <w:sz w:val="24"/>
          <w:szCs w:val="24"/>
        </w:rPr>
        <w:t>art. 5º, XXXV, da Constituição Federal</w:t>
      </w:r>
      <w:r w:rsidRPr="008029CC">
        <w:rPr>
          <w:rFonts w:ascii="Times New Roman" w:hAnsi="Times New Roman" w:cs="Times New Roman"/>
          <w:sz w:val="24"/>
          <w:szCs w:val="24"/>
        </w:rPr>
        <w:t xml:space="preserve">: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“a lei não excluirá da apreciação do Poder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Judiciário lesão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ou ameaça a direito”</w:t>
      </w:r>
      <w:r w:rsidRPr="008029CC">
        <w:rPr>
          <w:rFonts w:ascii="Times New Roman" w:hAnsi="Times New Roman" w:cs="Times New Roman"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32.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IOMAR BALEEIRO observa que a equ</w:t>
      </w:r>
      <w:r w:rsidRPr="008029CC">
        <w:rPr>
          <w:rFonts w:ascii="Times New Roman" w:hAnsi="Times New Roman" w:cs="Times New Roman"/>
          <w:sz w:val="24"/>
          <w:szCs w:val="24"/>
        </w:rPr>
        <w:t xml:space="preserve">idade permeia o direito tributário, acentuando: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“seja qual for o motivo determinante da falta deve ser atendida em termos, num sis</w:t>
      </w:r>
      <w:r>
        <w:rPr>
          <w:rFonts w:ascii="Times New Roman" w:hAnsi="Times New Roman" w:cs="Times New Roman"/>
          <w:i/>
          <w:iCs/>
          <w:sz w:val="24"/>
          <w:szCs w:val="24"/>
        </w:rPr>
        <w:t>tema jurídico que autoriza a equ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idade na interpretação das leis (CTN, art. 108, IV).” </w:t>
      </w:r>
      <w:r w:rsidRPr="008029CC">
        <w:rPr>
          <w:rFonts w:ascii="Times New Roman" w:hAnsi="Times New Roman" w:cs="Times New Roman"/>
          <w:sz w:val="24"/>
          <w:szCs w:val="24"/>
        </w:rPr>
        <w:t>(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apud </w:t>
      </w:r>
      <w:r w:rsidRPr="008029CC">
        <w:rPr>
          <w:rFonts w:ascii="Times New Roman" w:hAnsi="Times New Roman" w:cs="Times New Roman"/>
          <w:sz w:val="24"/>
          <w:szCs w:val="24"/>
        </w:rPr>
        <w:t xml:space="preserve">SACHA CALMON,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op. cit.</w:t>
      </w:r>
      <w:r w:rsidRPr="008029CC">
        <w:rPr>
          <w:rFonts w:ascii="Times New Roman" w:hAnsi="Times New Roman" w:cs="Times New Roman"/>
          <w:sz w:val="24"/>
          <w:szCs w:val="24"/>
        </w:rPr>
        <w:t>, p. 158).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33.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Na hipótese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>, a absurda multa moratória de 60% (sessenta por cento) foi aplicada com espeque no art. 35, inciso II, da Lei n. 8.212/91.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34.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Todavia, conforme aduzido alhures, esta norma legal se encontra encharcada de </w:t>
      </w:r>
      <w:r w:rsidRPr="008029CC">
        <w:rPr>
          <w:rFonts w:ascii="Times New Roman" w:hAnsi="Times New Roman" w:cs="Times New Roman"/>
          <w:bCs/>
          <w:sz w:val="24"/>
          <w:szCs w:val="24"/>
        </w:rPr>
        <w:t>INCONSTITUCIONALIDADE</w:t>
      </w:r>
      <w:r w:rsidRPr="008029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marcada explicitamente por flagrante abusividade, vindo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a constituir um autêntico CONFISCO sobre o contribuinte, </w:t>
      </w:r>
      <w:r w:rsidRPr="008029CC">
        <w:rPr>
          <w:rFonts w:ascii="Times New Roman" w:hAnsi="Times New Roman" w:cs="Times New Roman"/>
          <w:bCs/>
          <w:sz w:val="24"/>
          <w:szCs w:val="24"/>
        </w:rPr>
        <w:t>SITUAÇÃO ESTA QUE NÃO PODE PREVALECER DIANTE DA NORMA CONSTITUCIONAL INSCULPIDA NO ART. 150, IV, DA LEI MAIOR</w:t>
      </w:r>
      <w:r w:rsidRPr="008029CC">
        <w:rPr>
          <w:rFonts w:ascii="Times New Roman" w:hAnsi="Times New Roman" w:cs="Times New Roman"/>
          <w:sz w:val="24"/>
          <w:szCs w:val="24"/>
        </w:rPr>
        <w:t>, vedando ao fisco se utilizar de um tributo para fazer vez de confisco, tornando desproporcional a penalidade.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35.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A atividade comercial do embargante não lhe dá a menor condição de suportar uma penalidade a título de multa moratória de 60% (sessenta por cento) do valor corrigido, patenteando um autêntico confisco esta tributação, que não poderá prevalecer por inconstitucional, malferindo o art. 150, IV, da Constituição Federal.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C666DA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666DA">
        <w:rPr>
          <w:rFonts w:ascii="Times New Roman" w:hAnsi="Times New Roman" w:cs="Times New Roman"/>
          <w:sz w:val="24"/>
          <w:szCs w:val="24"/>
        </w:rPr>
        <w:t>36.</w:t>
      </w:r>
      <w:r w:rsidRPr="00C66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6DA">
        <w:rPr>
          <w:rFonts w:ascii="Times New Roman" w:hAnsi="Times New Roman" w:cs="Times New Roman"/>
          <w:sz w:val="24"/>
          <w:szCs w:val="24"/>
        </w:rPr>
        <w:t xml:space="preserve">A </w:t>
      </w:r>
      <w:r w:rsidRPr="00C666DA">
        <w:rPr>
          <w:rFonts w:ascii="Times New Roman" w:hAnsi="Times New Roman" w:cs="Times New Roman"/>
          <w:i/>
          <w:iCs/>
          <w:sz w:val="24"/>
          <w:szCs w:val="24"/>
        </w:rPr>
        <w:t>quaestio juris</w:t>
      </w:r>
      <w:r w:rsidRPr="00C666DA">
        <w:rPr>
          <w:rFonts w:ascii="Times New Roman" w:hAnsi="Times New Roman" w:cs="Times New Roman"/>
          <w:sz w:val="24"/>
          <w:szCs w:val="24"/>
        </w:rPr>
        <w:t xml:space="preserve"> não é nova, já tendo o </w:t>
      </w:r>
      <w:proofErr w:type="gramStart"/>
      <w:r w:rsidRPr="00C666DA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C666DA">
        <w:rPr>
          <w:rFonts w:ascii="Times New Roman" w:hAnsi="Times New Roman" w:cs="Times New Roman"/>
          <w:sz w:val="24"/>
          <w:szCs w:val="24"/>
        </w:rPr>
        <w:t xml:space="preserve"> </w:t>
      </w:r>
      <w:r w:rsidRPr="00C666DA">
        <w:rPr>
          <w:rFonts w:ascii="Times New Roman" w:hAnsi="Times New Roman" w:cs="Times New Roman"/>
          <w:bCs/>
          <w:sz w:val="24"/>
          <w:szCs w:val="24"/>
        </w:rPr>
        <w:t>TRIBUNAL REGIONAL FEDERAL DA 4ª REGIÃO</w:t>
      </w:r>
      <w:r w:rsidRPr="00C666DA">
        <w:rPr>
          <w:rFonts w:ascii="Times New Roman" w:hAnsi="Times New Roman" w:cs="Times New Roman"/>
          <w:sz w:val="24"/>
          <w:szCs w:val="24"/>
        </w:rPr>
        <w:t xml:space="preserve"> determinado em </w:t>
      </w:r>
      <w:r w:rsidRPr="00C666DA">
        <w:rPr>
          <w:rFonts w:ascii="Times New Roman" w:hAnsi="Times New Roman" w:cs="Times New Roman"/>
          <w:bCs/>
          <w:sz w:val="24"/>
          <w:szCs w:val="24"/>
        </w:rPr>
        <w:t>05.11.2003</w:t>
      </w:r>
      <w:r w:rsidRPr="00C666DA">
        <w:rPr>
          <w:rFonts w:ascii="Times New Roman" w:hAnsi="Times New Roman" w:cs="Times New Roman"/>
          <w:sz w:val="24"/>
          <w:szCs w:val="24"/>
        </w:rPr>
        <w:t xml:space="preserve">, ao julgar a </w:t>
      </w:r>
      <w:r w:rsidRPr="00C666DA">
        <w:rPr>
          <w:rFonts w:ascii="Times New Roman" w:hAnsi="Times New Roman" w:cs="Times New Roman"/>
          <w:bCs/>
          <w:sz w:val="24"/>
          <w:szCs w:val="24"/>
        </w:rPr>
        <w:t>Apelação Cível n. 2000.04.01.085146-0/MG</w:t>
      </w:r>
      <w:r w:rsidRPr="00C666DA">
        <w:rPr>
          <w:rFonts w:ascii="Times New Roman" w:hAnsi="Times New Roman" w:cs="Times New Roman"/>
          <w:sz w:val="24"/>
          <w:szCs w:val="24"/>
        </w:rPr>
        <w:t xml:space="preserve">, relator Juiz Federal HILTON QUEIROZ que a multa simplesmente moratória de 60% (sessenta por cento) aplicada pelo </w:t>
      </w:r>
      <w:r w:rsidRPr="00C666DA">
        <w:rPr>
          <w:rFonts w:ascii="Times New Roman" w:hAnsi="Times New Roman" w:cs="Times New Roman"/>
          <w:b/>
          <w:bCs/>
          <w:sz w:val="24"/>
          <w:szCs w:val="24"/>
        </w:rPr>
        <w:t>“INSS”</w:t>
      </w:r>
      <w:r w:rsidRPr="00C666DA">
        <w:rPr>
          <w:rFonts w:ascii="Times New Roman" w:hAnsi="Times New Roman" w:cs="Times New Roman"/>
          <w:sz w:val="24"/>
          <w:szCs w:val="24"/>
        </w:rPr>
        <w:t xml:space="preserve"> é desproporcional e tem jaez de confisco, </w:t>
      </w:r>
      <w:r w:rsidRPr="00C666DA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Pr="00C666DA">
        <w:rPr>
          <w:rFonts w:ascii="Times New Roman" w:hAnsi="Times New Roman" w:cs="Times New Roman"/>
          <w:sz w:val="24"/>
          <w:szCs w:val="24"/>
        </w:rPr>
        <w:t>: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pacing w:val="6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“ENTENDO QUE, EM UM JUÍZO DE PROPORCIONALIDADE, A APLICAÇÃO DO PERCENTUAL DE 60% É, DE FATO,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CONFISCATÓRIO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EMBORA A CONDUTA DO </w:t>
      </w:r>
      <w:proofErr w:type="gramStart"/>
      <w:r w:rsidRPr="008029CC">
        <w:rPr>
          <w:rFonts w:ascii="Times New Roman" w:hAnsi="Times New Roman" w:cs="Times New Roman"/>
          <w:i/>
          <w:iCs/>
          <w:sz w:val="24"/>
          <w:szCs w:val="24"/>
        </w:rPr>
        <w:t>NÃO-RECOLHIMENTO</w:t>
      </w:r>
      <w:proofErr w:type="gramEnd"/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DO TRIBUTO MEREÇA REPRIMENDA, DEVE SER APLICADA A ORIENTAÇÃO MAIS BENÉFICA POR SE TRATAR DE PENALIDADE.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NA HIPÓTESE, O PERCENTUAL DE 10% UTILIZADO PELO JUIZ </w:t>
      </w:r>
      <w:r w:rsidRPr="008029CC">
        <w:rPr>
          <w:rFonts w:ascii="Times New Roman" w:hAnsi="Times New Roman" w:cs="Times New Roman"/>
          <w:sz w:val="24"/>
          <w:szCs w:val="24"/>
        </w:rPr>
        <w:t>A QUO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 xml:space="preserve"> NÃO TEM PREVISÃO LEGAL. 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z w:val="24"/>
          <w:szCs w:val="24"/>
        </w:rPr>
        <w:t>DEVE SER FIXADA A MULTA DE ACORDO COM O ART. 59 DA LEI 8.383 /91 NO PERCENTUAL DE 20%.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8029CC">
        <w:rPr>
          <w:rFonts w:ascii="Times New Roman" w:hAnsi="Times New Roman" w:cs="Times New Roman"/>
          <w:i/>
          <w:iCs/>
          <w:spacing w:val="6"/>
          <w:sz w:val="24"/>
          <w:szCs w:val="24"/>
        </w:rPr>
        <w:t>ANTE O EXPOSTO, NEGO PROVIMENTO AO APELO DA EMBARGANTE E DOU PROVIMENTO PARCIAL AO APELO DO INSS E À REMESSA PARA ELEVAR O PERCENTUAL DA MULTA DE 10% PARA 20% DO VALOR DO DÉBITO ATUA</w:t>
      </w:r>
      <w:r w:rsidRPr="008029CC">
        <w:rPr>
          <w:rFonts w:ascii="Times New Roman" w:hAnsi="Times New Roman" w:cs="Times New Roman"/>
          <w:i/>
          <w:iCs/>
          <w:spacing w:val="6"/>
          <w:sz w:val="24"/>
          <w:szCs w:val="24"/>
        </w:rPr>
        <w:softHyphen/>
        <w:t>LIZADO.</w:t>
      </w:r>
      <w:proofErr w:type="gramStart"/>
      <w:r w:rsidRPr="008029CC">
        <w:rPr>
          <w:rFonts w:ascii="Times New Roman" w:hAnsi="Times New Roman" w:cs="Times New Roman"/>
          <w:i/>
          <w:iCs/>
          <w:spacing w:val="6"/>
          <w:sz w:val="24"/>
          <w:szCs w:val="24"/>
        </w:rPr>
        <w:t>”</w:t>
      </w:r>
      <w:proofErr w:type="gramEnd"/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37.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Por isso, na suposição (admitida em homenagem ao princípio da eventualidade) de superada a premissa anterior de desconstituição do título extrajudicial, 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HÃO DE </w:t>
      </w:r>
      <w:proofErr w:type="gramStart"/>
      <w:r w:rsidRPr="008029CC">
        <w:rPr>
          <w:rFonts w:ascii="Times New Roman" w:hAnsi="Times New Roman" w:cs="Times New Roman"/>
          <w:bCs/>
          <w:sz w:val="24"/>
          <w:szCs w:val="24"/>
        </w:rPr>
        <w:t>SER</w:t>
      </w:r>
      <w:proofErr w:type="gramEnd"/>
      <w:r w:rsidRPr="008029CC">
        <w:rPr>
          <w:rFonts w:ascii="Times New Roman" w:hAnsi="Times New Roman" w:cs="Times New Roman"/>
          <w:bCs/>
          <w:sz w:val="24"/>
          <w:szCs w:val="24"/>
        </w:rPr>
        <w:t xml:space="preserve"> PROCEDENTES OS PRESENTES EMBARGOS PARA REDUZIR A MULTA MORATÓRIA PARA O PATAMAR ADMITIDO PELA JURISPRUDÊNCIA DO PAÍS DE 10% A 20%</w:t>
      </w:r>
      <w:r w:rsidRPr="008029CC">
        <w:rPr>
          <w:rFonts w:ascii="Times New Roman" w:hAnsi="Times New Roman" w:cs="Times New Roman"/>
          <w:sz w:val="24"/>
          <w:szCs w:val="24"/>
        </w:rPr>
        <w:t>, afastando o abominável confisco e fétido princípio da desproporcionalidade.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III – PEDIDOS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38</w:t>
      </w:r>
      <w:r w:rsidRPr="008029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029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029CC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8029CC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8029CC">
        <w:rPr>
          <w:rFonts w:ascii="Times New Roman" w:hAnsi="Times New Roman" w:cs="Times New Roman"/>
          <w:sz w:val="24"/>
          <w:szCs w:val="24"/>
        </w:rPr>
        <w:t>, o embargante requer: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a)</w:t>
      </w:r>
      <w:r w:rsidRPr="00802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em primeira premissa </w:t>
      </w:r>
      <w:r w:rsidRPr="008029CC">
        <w:rPr>
          <w:rFonts w:ascii="Times New Roman" w:hAnsi="Times New Roman" w:cs="Times New Roman"/>
          <w:bCs/>
          <w:sz w:val="24"/>
          <w:szCs w:val="24"/>
        </w:rPr>
        <w:t>SEJAM JULGADOS PROCEDENTES OS PRESENTES EMBARGOS À EXECUÇÃO, DESCONSTITUINDO-SE INTEGRALMENTE O TÍTULO EXTRAJUDICIAL EXEQÜENDO</w:t>
      </w:r>
      <w:r w:rsidRPr="008029C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029CC">
        <w:rPr>
          <w:rFonts w:ascii="Times New Roman" w:hAnsi="Times New Roman" w:cs="Times New Roman"/>
          <w:sz w:val="24"/>
          <w:szCs w:val="24"/>
          <w:u w:color="000000"/>
        </w:rPr>
        <w:t>cumuladamente</w:t>
      </w:r>
      <w:proofErr w:type="spellEnd"/>
      <w:proofErr w:type="gramStart"/>
      <w:r w:rsidRPr="008029CC">
        <w:rPr>
          <w:rFonts w:ascii="Times New Roman" w:hAnsi="Times New Roman" w:cs="Times New Roman"/>
          <w:sz w:val="24"/>
          <w:szCs w:val="24"/>
        </w:rPr>
        <w:t xml:space="preserve">, </w:t>
      </w:r>
      <w:r w:rsidRPr="008029CC">
        <w:rPr>
          <w:rFonts w:ascii="Times New Roman" w:hAnsi="Times New Roman" w:cs="Times New Roman"/>
          <w:bCs/>
          <w:sz w:val="24"/>
          <w:szCs w:val="24"/>
        </w:rPr>
        <w:t>SEJAM</w:t>
      </w:r>
      <w:proofErr w:type="gramEnd"/>
      <w:r w:rsidRPr="008029CC">
        <w:rPr>
          <w:rFonts w:ascii="Times New Roman" w:hAnsi="Times New Roman" w:cs="Times New Roman"/>
          <w:bCs/>
          <w:sz w:val="24"/>
          <w:szCs w:val="24"/>
        </w:rPr>
        <w:t xml:space="preserve"> JULGADOS PROCEDENTES OS PRESENTES EMBARGOS PARA REDUZIR A MULTA MORATÓRIA PARA O </w:t>
      </w:r>
      <w:r w:rsidRPr="008029CC">
        <w:rPr>
          <w:rFonts w:ascii="Times New Roman" w:hAnsi="Times New Roman" w:cs="Times New Roman"/>
          <w:bCs/>
          <w:sz w:val="24"/>
          <w:szCs w:val="24"/>
        </w:rPr>
        <w:lastRenderedPageBreak/>
        <w:t>PATAMAR ADMITIDO PELA JURISPRUDÊNCIA DO PAÍS DE 10% A 20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8029CC">
        <w:rPr>
          <w:rFonts w:ascii="Times New Roman" w:hAnsi="Times New Roman" w:cs="Times New Roman"/>
          <w:sz w:val="24"/>
          <w:szCs w:val="24"/>
        </w:rPr>
        <w:t>, afastando o abominável confisco e fétido princípio da desproporcionalidade;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b)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a condenação ao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embargado no pagamento das custas processuais e honorários advocatícios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>;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c)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a intimação do embargado, por meio do seu ilustre patrono, para, querendo, no prazo de 30 (trinta) dias, apresentar impugnação (art. 17, </w:t>
      </w:r>
      <w:r w:rsidRPr="008029CC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8029CC">
        <w:rPr>
          <w:rFonts w:ascii="Times New Roman" w:hAnsi="Times New Roman" w:cs="Times New Roman"/>
          <w:sz w:val="24"/>
          <w:szCs w:val="24"/>
        </w:rPr>
        <w:t>, da Lei n. 6.830/80</w:t>
      </w:r>
      <w:r w:rsidRPr="008029C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029CC">
        <w:rPr>
          <w:rFonts w:ascii="Times New Roman" w:hAnsi="Times New Roman" w:cs="Times New Roman"/>
          <w:sz w:val="24"/>
          <w:szCs w:val="24"/>
        </w:rPr>
        <w:t>);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d)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>a produção de provas documental, testemunhal, e, especialmente, a prova pericial contábil;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>e)</w:t>
      </w:r>
      <w:r w:rsidRPr="00802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CC">
        <w:rPr>
          <w:rFonts w:ascii="Times New Roman" w:hAnsi="Times New Roman" w:cs="Times New Roman"/>
          <w:sz w:val="24"/>
          <w:szCs w:val="24"/>
        </w:rPr>
        <w:t xml:space="preserve">a distribuição por dependência aos autos da execução fiscal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8029CC" w:rsidRPr="008029CC" w:rsidRDefault="008029CC" w:rsidP="00C666D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029CC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8029CC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8029CC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8029CC" w:rsidRPr="008029CC" w:rsidRDefault="008029CC" w:rsidP="00C666D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029CC" w:rsidRPr="008029CC" w:rsidRDefault="008029CC" w:rsidP="00C666DA">
      <w:pPr>
        <w:ind w:right="-568"/>
        <w:jc w:val="center"/>
      </w:pPr>
      <w:r w:rsidRPr="008029CC">
        <w:t>P. Deferimento.</w:t>
      </w:r>
    </w:p>
    <w:p w:rsidR="008029CC" w:rsidRPr="008029CC" w:rsidRDefault="008029CC" w:rsidP="00C666DA">
      <w:pPr>
        <w:ind w:right="-568"/>
        <w:jc w:val="center"/>
      </w:pPr>
      <w:r w:rsidRPr="008029CC">
        <w:t>(Local e data)</w:t>
      </w:r>
    </w:p>
    <w:p w:rsidR="008029CC" w:rsidRPr="008029CC" w:rsidRDefault="008029CC" w:rsidP="00C666DA">
      <w:pPr>
        <w:ind w:right="-568"/>
        <w:jc w:val="center"/>
      </w:pPr>
      <w:r w:rsidRPr="008029CC">
        <w:t xml:space="preserve"> (Assinatura e OAB do Advogado)</w:t>
      </w:r>
    </w:p>
    <w:p w:rsidR="007D200E" w:rsidRPr="008029CC" w:rsidRDefault="007D200E" w:rsidP="00C666DA">
      <w:pPr>
        <w:ind w:right="-568"/>
      </w:pPr>
    </w:p>
    <w:sectPr w:rsidR="007D200E" w:rsidRPr="008029CC" w:rsidSect="00772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C8" w:rsidRDefault="00296EC8" w:rsidP="008029CC">
      <w:r>
        <w:separator/>
      </w:r>
    </w:p>
  </w:endnote>
  <w:endnote w:type="continuationSeparator" w:id="0">
    <w:p w:rsidR="00296EC8" w:rsidRDefault="00296EC8" w:rsidP="008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C8" w:rsidRDefault="00296EC8" w:rsidP="008029CC">
      <w:r>
        <w:separator/>
      </w:r>
    </w:p>
  </w:footnote>
  <w:footnote w:type="continuationSeparator" w:id="0">
    <w:p w:rsidR="00296EC8" w:rsidRDefault="00296EC8" w:rsidP="008029CC">
      <w:r>
        <w:continuationSeparator/>
      </w:r>
    </w:p>
  </w:footnote>
  <w:footnote w:id="1">
    <w:p w:rsidR="005F3D13" w:rsidRPr="008029CC" w:rsidRDefault="005F3D13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029CC">
        <w:rPr>
          <w:sz w:val="20"/>
          <w:szCs w:val="20"/>
          <w:vertAlign w:val="superscript"/>
        </w:rPr>
        <w:footnoteRef/>
      </w:r>
      <w:r w:rsidRPr="008029CC">
        <w:rPr>
          <w:b/>
          <w:bCs/>
          <w:sz w:val="20"/>
          <w:szCs w:val="20"/>
        </w:rPr>
        <w:t xml:space="preserve">Art. 16. </w:t>
      </w:r>
      <w:r w:rsidRPr="008029CC">
        <w:rPr>
          <w:sz w:val="20"/>
          <w:szCs w:val="20"/>
        </w:rPr>
        <w:t xml:space="preserve">(...) </w:t>
      </w:r>
      <w:r w:rsidRPr="008029CC">
        <w:rPr>
          <w:b/>
          <w:sz w:val="20"/>
          <w:szCs w:val="20"/>
        </w:rPr>
        <w:t>§ 2º</w:t>
      </w:r>
      <w:r w:rsidRPr="008029CC">
        <w:rPr>
          <w:sz w:val="20"/>
          <w:szCs w:val="20"/>
        </w:rPr>
        <w:t xml:space="preserve"> No prazo dos embargos, o executado deverá alegar toda matéria útil à defesa, requerer provas e juntar aos autos os documentos e rol de testemunhas, até três, ou, a critério do juiz, até o dobro desse limite.</w:t>
      </w:r>
    </w:p>
  </w:footnote>
  <w:footnote w:id="2">
    <w:p w:rsidR="005F3D13" w:rsidRPr="008029CC" w:rsidRDefault="005F3D13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029CC">
        <w:rPr>
          <w:sz w:val="20"/>
          <w:szCs w:val="20"/>
          <w:vertAlign w:val="superscript"/>
        </w:rPr>
        <w:footnoteRef/>
      </w:r>
      <w:r w:rsidRPr="008029CC">
        <w:rPr>
          <w:b/>
          <w:bCs/>
          <w:sz w:val="20"/>
          <w:szCs w:val="20"/>
        </w:rPr>
        <w:t>Art. 16.</w:t>
      </w:r>
      <w:r w:rsidRPr="008029CC">
        <w:rPr>
          <w:sz w:val="20"/>
          <w:szCs w:val="20"/>
        </w:rPr>
        <w:t xml:space="preserve"> O executado oferecerá embargos, no prazo de 30 (trinta) dias, contados: </w:t>
      </w:r>
      <w:r w:rsidRPr="008029CC">
        <w:rPr>
          <w:b/>
          <w:sz w:val="20"/>
          <w:szCs w:val="20"/>
        </w:rPr>
        <w:t>I –</w:t>
      </w:r>
      <w:r w:rsidRPr="008029CC">
        <w:rPr>
          <w:sz w:val="20"/>
          <w:szCs w:val="20"/>
        </w:rPr>
        <w:t xml:space="preserve"> do depósito; </w:t>
      </w:r>
      <w:r w:rsidRPr="008029CC">
        <w:rPr>
          <w:b/>
          <w:sz w:val="20"/>
          <w:szCs w:val="20"/>
        </w:rPr>
        <w:t>II –</w:t>
      </w:r>
      <w:r w:rsidRPr="008029CC">
        <w:rPr>
          <w:sz w:val="20"/>
          <w:szCs w:val="20"/>
        </w:rPr>
        <w:t xml:space="preserve"> da juntada da prova da fiança bancária; </w:t>
      </w:r>
      <w:r w:rsidRPr="008029CC">
        <w:rPr>
          <w:b/>
          <w:sz w:val="20"/>
          <w:szCs w:val="20"/>
        </w:rPr>
        <w:t xml:space="preserve">III </w:t>
      </w:r>
      <w:r w:rsidRPr="008029CC">
        <w:rPr>
          <w:sz w:val="20"/>
          <w:szCs w:val="20"/>
        </w:rPr>
        <w:t>– da intimação da penhora.</w:t>
      </w:r>
    </w:p>
  </w:footnote>
  <w:footnote w:id="3">
    <w:p w:rsidR="005F3D13" w:rsidRPr="008029CC" w:rsidRDefault="005F3D13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029CC">
        <w:rPr>
          <w:sz w:val="20"/>
          <w:szCs w:val="20"/>
          <w:vertAlign w:val="superscript"/>
        </w:rPr>
        <w:footnoteRef/>
      </w:r>
      <w:r w:rsidRPr="008029CC">
        <w:rPr>
          <w:b/>
          <w:bCs/>
          <w:sz w:val="20"/>
          <w:szCs w:val="20"/>
        </w:rPr>
        <w:t xml:space="preserve">Art. 16. </w:t>
      </w:r>
      <w:r w:rsidRPr="008029CC">
        <w:rPr>
          <w:sz w:val="20"/>
          <w:szCs w:val="20"/>
        </w:rPr>
        <w:t xml:space="preserve">(...) </w:t>
      </w:r>
      <w:r w:rsidRPr="008029CC">
        <w:rPr>
          <w:b/>
          <w:sz w:val="20"/>
          <w:szCs w:val="20"/>
        </w:rPr>
        <w:t>§ 1º</w:t>
      </w:r>
      <w:r w:rsidRPr="008029CC">
        <w:rPr>
          <w:sz w:val="20"/>
          <w:szCs w:val="20"/>
        </w:rPr>
        <w:t xml:space="preserve"> Não são admissíveis embargos do executado antes de garantida a execução.</w:t>
      </w:r>
    </w:p>
  </w:footnote>
  <w:footnote w:id="4">
    <w:p w:rsidR="008029CC" w:rsidRPr="008029CC" w:rsidRDefault="008029CC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029CC">
        <w:rPr>
          <w:sz w:val="20"/>
          <w:szCs w:val="20"/>
          <w:vertAlign w:val="superscript"/>
        </w:rPr>
        <w:footnoteRef/>
      </w:r>
      <w:r w:rsidRPr="008029CC">
        <w:rPr>
          <w:sz w:val="20"/>
          <w:szCs w:val="20"/>
        </w:rPr>
        <w:t>A</w:t>
      </w:r>
      <w:r w:rsidRPr="008029CC">
        <w:rPr>
          <w:b/>
          <w:bCs/>
          <w:sz w:val="20"/>
          <w:szCs w:val="20"/>
        </w:rPr>
        <w:t>rt. 5º</w:t>
      </w:r>
      <w:r w:rsidRPr="008029CC">
        <w:rPr>
          <w:sz w:val="20"/>
          <w:szCs w:val="20"/>
        </w:rPr>
        <w:t>, LV.</w:t>
      </w:r>
    </w:p>
    <w:p w:rsidR="008029CC" w:rsidRPr="008029CC" w:rsidRDefault="008029CC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</w:p>
  </w:footnote>
  <w:footnote w:id="5">
    <w:p w:rsidR="008029CC" w:rsidRPr="008029CC" w:rsidRDefault="008029CC" w:rsidP="00C666DA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8029CC">
        <w:rPr>
          <w:sz w:val="20"/>
          <w:szCs w:val="20"/>
          <w:vertAlign w:val="superscript"/>
        </w:rPr>
        <w:footnoteRef/>
      </w:r>
      <w:r w:rsidRPr="008029CC">
        <w:rPr>
          <w:b/>
          <w:bCs/>
          <w:sz w:val="20"/>
          <w:szCs w:val="20"/>
        </w:rPr>
        <w:t>Art. 17.</w:t>
      </w:r>
      <w:r w:rsidRPr="008029CC">
        <w:rPr>
          <w:sz w:val="20"/>
          <w:szCs w:val="20"/>
        </w:rPr>
        <w:t xml:space="preserve"> Recebidos os embargos, o juiz mandará intimar a Fazenda, para impugná-los no prazo de 30 (trinta) dias, designando, em seguida, audiência de instrução e julgamento.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C"/>
    <w:rsid w:val="000A328A"/>
    <w:rsid w:val="00296EC8"/>
    <w:rsid w:val="00340CDA"/>
    <w:rsid w:val="004274A1"/>
    <w:rsid w:val="00434F37"/>
    <w:rsid w:val="005F3D13"/>
    <w:rsid w:val="006806D7"/>
    <w:rsid w:val="00772F18"/>
    <w:rsid w:val="00782B16"/>
    <w:rsid w:val="007D200E"/>
    <w:rsid w:val="007D44B7"/>
    <w:rsid w:val="008029CC"/>
    <w:rsid w:val="00863441"/>
    <w:rsid w:val="00BE187E"/>
    <w:rsid w:val="00C666DA"/>
    <w:rsid w:val="00C72D7C"/>
    <w:rsid w:val="00C9724A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029C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029C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029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2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029C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8029CC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8029C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8029CC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029C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8029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02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8029CC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8029CC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8029CC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2706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2020-06-26T19:04:00Z</dcterms:created>
  <dcterms:modified xsi:type="dcterms:W3CDTF">2020-07-11T15:02:00Z</dcterms:modified>
</cp:coreProperties>
</file>