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1" w:rsidRPr="00F21831" w:rsidRDefault="00F21831" w:rsidP="003A4696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F21831">
        <w:rPr>
          <w:rFonts w:ascii="Arial Black" w:hAnsi="Arial Black" w:cs="Times New Roman"/>
          <w:sz w:val="24"/>
          <w:szCs w:val="24"/>
        </w:rPr>
        <w:t>MODELO DE PETIÇÃO</w:t>
      </w:r>
    </w:p>
    <w:p w:rsidR="004D292A" w:rsidRDefault="002A0D05" w:rsidP="003A4696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EXECUÇÃO.</w:t>
      </w:r>
      <w:r w:rsidR="004D292A" w:rsidRPr="00F21831">
        <w:rPr>
          <w:rFonts w:ascii="Arial Black" w:hAnsi="Arial Black" w:cs="Times New Roman"/>
          <w:sz w:val="24"/>
          <w:szCs w:val="24"/>
        </w:rPr>
        <w:t>EMBARGOS DE TERCEIRO. DEFESA DA MEAÇÃO DA MULHER. EXECUÇÃO FISCAL. INICIAL</w:t>
      </w:r>
    </w:p>
    <w:p w:rsidR="00EB2065" w:rsidRPr="008613C1" w:rsidRDefault="00EB2065" w:rsidP="00EB2065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  <w:u w:val="thick" w:color="000000"/>
        </w:rPr>
      </w:pPr>
      <w:bookmarkStart w:id="0" w:name="_GoBack"/>
      <w:bookmarkEnd w:id="0"/>
    </w:p>
    <w:p w:rsidR="00B94D12" w:rsidRPr="003A4696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r w:rsidRPr="00B94D12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B94D12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B94D12" w:rsidRDefault="004D292A" w:rsidP="003A4696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- Importante demonstrar que o objeto da execução, o crédito tributário-fiscal, não reverteu em proveito algum para a embargante ou sua família.</w:t>
      </w:r>
    </w:p>
    <w:p w:rsidR="004D292A" w:rsidRPr="004D292A" w:rsidRDefault="004D292A" w:rsidP="003A4696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- O valor da causa corresponderá ao valor do bem ou da parte dele que se pretende ver excluído da penhora.</w:t>
      </w:r>
    </w:p>
    <w:p w:rsidR="00B94D12" w:rsidRPr="004D292A" w:rsidRDefault="00B94D12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Default="007C1E72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.... Vara Cível da Comarca d</w:t>
      </w:r>
      <w:r w:rsidRPr="004D292A">
        <w:rPr>
          <w:rFonts w:ascii="Times New Roman" w:hAnsi="Times New Roman" w:cs="Times New Roman"/>
          <w:sz w:val="24"/>
          <w:szCs w:val="24"/>
        </w:rPr>
        <w:t>e ...</w:t>
      </w:r>
    </w:p>
    <w:p w:rsidR="00B94D12" w:rsidRPr="004D292A" w:rsidRDefault="00B94D12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(distribuição por dependência à execução fiscal n. ...).</w:t>
      </w:r>
    </w:p>
    <w:p w:rsidR="00B94D12" w:rsidRPr="004D292A" w:rsidRDefault="00B94D12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D292A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4D292A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vem, respeitosamente, </w:t>
      </w:r>
      <w:r w:rsidR="00D71FC7">
        <w:rPr>
          <w:rFonts w:ascii="Times New Roman" w:hAnsi="Times New Roman" w:cs="Times New Roman"/>
          <w:sz w:val="24"/>
          <w:szCs w:val="24"/>
        </w:rPr>
        <w:t>com fundamento nos artigos 674</w:t>
      </w:r>
      <w:r w:rsidR="003A4696">
        <w:rPr>
          <w:rFonts w:ascii="Times New Roman" w:hAnsi="Times New Roman" w:cs="Times New Roman"/>
          <w:sz w:val="24"/>
          <w:szCs w:val="24"/>
        </w:rPr>
        <w:t xml:space="preserve">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usque</w:t>
      </w:r>
      <w:r w:rsidR="003A46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1FC7">
        <w:rPr>
          <w:rFonts w:ascii="Times New Roman" w:hAnsi="Times New Roman" w:cs="Times New Roman"/>
          <w:sz w:val="24"/>
          <w:szCs w:val="24"/>
        </w:rPr>
        <w:t>681</w:t>
      </w:r>
      <w:r w:rsidRPr="004D292A">
        <w:rPr>
          <w:rFonts w:ascii="Times New Roman" w:hAnsi="Times New Roman" w:cs="Times New Roman"/>
          <w:sz w:val="24"/>
          <w:szCs w:val="24"/>
        </w:rPr>
        <w:t xml:space="preserve"> do Código de Processo Civil</w:t>
      </w:r>
      <w:r w:rsidR="00D71FC7">
        <w:rPr>
          <w:rStyle w:val="Refdenotaderodap"/>
        </w:rPr>
        <w:footnoteReference w:id="1"/>
      </w:r>
      <w:r w:rsidR="00D71FC7">
        <w:t>,</w:t>
      </w:r>
      <w:r w:rsidRPr="004D292A">
        <w:rPr>
          <w:rFonts w:ascii="Times New Roman" w:hAnsi="Times New Roman" w:cs="Times New Roman"/>
          <w:sz w:val="24"/>
          <w:szCs w:val="24"/>
        </w:rPr>
        <w:t xml:space="preserve">, promover os presentes EMBARGOS DE TERCEIRO COM PEDIDO DE </w:t>
      </w:r>
      <w:r w:rsidRPr="004D292A">
        <w:rPr>
          <w:rFonts w:ascii="Times New Roman" w:hAnsi="Times New Roman" w:cs="Times New Roman"/>
          <w:sz w:val="24"/>
          <w:szCs w:val="24"/>
          <w:u w:color="000000"/>
        </w:rPr>
        <w:t>LIMINAR</w:t>
      </w:r>
      <w:r w:rsidR="003A4696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 xml:space="preserve">INAUDITA ALTERA PARTE </w:t>
      </w:r>
      <w:r w:rsidRPr="004D292A">
        <w:rPr>
          <w:rFonts w:ascii="Times New Roman" w:hAnsi="Times New Roman" w:cs="Times New Roman"/>
          <w:sz w:val="24"/>
          <w:szCs w:val="24"/>
        </w:rPr>
        <w:t>DE MANUTENÇÃO DE POSSE c</w:t>
      </w:r>
      <w:r>
        <w:rPr>
          <w:rFonts w:ascii="Times New Roman" w:hAnsi="Times New Roman" w:cs="Times New Roman"/>
          <w:sz w:val="24"/>
          <w:szCs w:val="24"/>
        </w:rPr>
        <w:t>ontra a ... (órgão público exequ</w:t>
      </w:r>
      <w:r w:rsidRPr="004D292A">
        <w:rPr>
          <w:rFonts w:ascii="Times New Roman" w:hAnsi="Times New Roman" w:cs="Times New Roman"/>
          <w:sz w:val="24"/>
          <w:szCs w:val="24"/>
        </w:rPr>
        <w:t>ente), na pessoa do seu representante legal, sito à rua ..., pelas razões de direito adiante articuladas: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  <w:u w:color="000000"/>
        </w:rPr>
        <w:t>I</w:t>
      </w:r>
      <w:r w:rsidRPr="004D292A">
        <w:rPr>
          <w:rFonts w:ascii="Times New Roman" w:hAnsi="Times New Roman" w:cs="Times New Roman"/>
          <w:sz w:val="24"/>
          <w:szCs w:val="24"/>
        </w:rPr>
        <w:t xml:space="preserve"> – BREVE ESCORÇO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1. A embargante é casada sob o regime de comunhão universal de bens com o Sr. ... (doc. n. ...).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2. Tramita perante esse douto juízo uma execução fiscal promovida pela embargada contra o marido da embargante, processo em apenso n. ...</w:t>
      </w:r>
    </w:p>
    <w:p w:rsidR="004D292A" w:rsidRPr="004D292A" w:rsidRDefault="004D292A" w:rsidP="003A4696">
      <w:pPr>
        <w:pStyle w:val="Noparagraphstyle"/>
        <w:suppressAutoHyphens/>
        <w:ind w:right="-568"/>
        <w:jc w:val="both"/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3. O objeto da execução apensada é uma CERTIDÃO DE DÍVIDA ATIVA, figurando como devedora principal a ...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4. O marido </w:t>
      </w:r>
      <w:r>
        <w:rPr>
          <w:rFonts w:ascii="Times New Roman" w:hAnsi="Times New Roman" w:cs="Times New Roman"/>
          <w:sz w:val="24"/>
          <w:szCs w:val="24"/>
        </w:rPr>
        <w:t>da embargante foi incluído no po</w:t>
      </w:r>
      <w:r w:rsidRPr="004D292A">
        <w:rPr>
          <w:rFonts w:ascii="Times New Roman" w:hAnsi="Times New Roman" w:cs="Times New Roman"/>
          <w:sz w:val="24"/>
          <w:szCs w:val="24"/>
        </w:rPr>
        <w:t xml:space="preserve">lo passivo litisconsorcial da referida execução como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responsável por substituição</w:t>
      </w:r>
      <w:r w:rsidRPr="004D292A">
        <w:rPr>
          <w:rFonts w:ascii="Times New Roman" w:hAnsi="Times New Roman" w:cs="Times New Roman"/>
          <w:sz w:val="24"/>
          <w:szCs w:val="24"/>
        </w:rPr>
        <w:t xml:space="preserve"> da devedora principal, por débitos de ...., cujo fato gerador é do ano de “....”, por ter ocupado o cargo de Presidente da devedora principal, no período em que se compreendeu a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causa debendi</w:t>
      </w:r>
      <w:r>
        <w:rPr>
          <w:rFonts w:ascii="Times New Roman" w:hAnsi="Times New Roman" w:cs="Times New Roman"/>
          <w:sz w:val="24"/>
          <w:szCs w:val="24"/>
        </w:rPr>
        <w:t xml:space="preserve"> da exação fiscal exequ</w:t>
      </w:r>
      <w:r w:rsidRPr="004D292A">
        <w:rPr>
          <w:rFonts w:ascii="Times New Roman" w:hAnsi="Times New Roman" w:cs="Times New Roman"/>
          <w:sz w:val="24"/>
          <w:szCs w:val="24"/>
        </w:rPr>
        <w:t>enda, com fulcro no art. 135, III, do Código Tributário Nacional (doc. n. ...).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5. A embargada, </w:t>
      </w:r>
      <w:r w:rsidRPr="004D292A">
        <w:rPr>
          <w:rFonts w:ascii="Times New Roman" w:hAnsi="Times New Roman" w:cs="Times New Roman"/>
          <w:i/>
          <w:iCs/>
          <w:spacing w:val="4"/>
          <w:sz w:val="24"/>
          <w:szCs w:val="24"/>
        </w:rPr>
        <w:t>sponte sua</w:t>
      </w:r>
      <w:r w:rsidRPr="004D292A">
        <w:rPr>
          <w:rFonts w:ascii="Times New Roman" w:hAnsi="Times New Roman" w:cs="Times New Roman"/>
          <w:spacing w:val="4"/>
          <w:sz w:val="24"/>
          <w:szCs w:val="24"/>
        </w:rPr>
        <w:t xml:space="preserve">, em </w:t>
      </w:r>
      <w:r w:rsidRPr="004D292A">
        <w:rPr>
          <w:rFonts w:ascii="Times New Roman" w:hAnsi="Times New Roman" w:cs="Times New Roman"/>
          <w:i/>
          <w:iCs/>
          <w:spacing w:val="4"/>
          <w:sz w:val="24"/>
          <w:szCs w:val="24"/>
          <w:u w:color="000000"/>
        </w:rPr>
        <w:t>petição específica</w:t>
      </w:r>
      <w:r w:rsidRPr="004D292A">
        <w:rPr>
          <w:rFonts w:ascii="Times New Roman" w:hAnsi="Times New Roman" w:cs="Times New Roman"/>
          <w:spacing w:val="4"/>
          <w:sz w:val="24"/>
          <w:szCs w:val="24"/>
        </w:rPr>
        <w:t xml:space="preserve"> datada de ..., indicou para penhora  A TOTALIDADE de 03 (três) veículos registrados no DETRAN e dos 02 (dois) imóveis registrados em nome do marido da embargante (doc. n. ...).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6. Deferido o pedido da embargada, procedeu-se à expedição do “</w:t>
      </w:r>
      <w:r w:rsidRPr="007C1E72">
        <w:rPr>
          <w:rFonts w:ascii="Times New Roman" w:hAnsi="Times New Roman" w:cs="Times New Roman"/>
          <w:i/>
          <w:sz w:val="24"/>
          <w:szCs w:val="24"/>
        </w:rPr>
        <w:t>mandado de penhora</w:t>
      </w:r>
      <w:r w:rsidRPr="004D292A">
        <w:rPr>
          <w:rFonts w:ascii="Times New Roman" w:hAnsi="Times New Roman" w:cs="Times New Roman"/>
          <w:sz w:val="24"/>
          <w:szCs w:val="24"/>
        </w:rPr>
        <w:t>”, que foi cumprido regularmente no processo da execução apensada (doc. n. ...).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7. Esse o resumo.</w:t>
      </w:r>
    </w:p>
    <w:p w:rsidR="004D292A" w:rsidRPr="004D292A" w:rsidRDefault="004D292A" w:rsidP="003A4696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  <w:u w:val="thick" w:color="000000"/>
        </w:rPr>
      </w:pPr>
    </w:p>
    <w:p w:rsidR="004D292A" w:rsidRPr="004D292A" w:rsidRDefault="004D292A" w:rsidP="003A4696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  <w:u w:color="000000"/>
        </w:rPr>
        <w:t>II</w:t>
      </w:r>
      <w:r w:rsidRPr="004D292A">
        <w:rPr>
          <w:rFonts w:ascii="Times New Roman" w:hAnsi="Times New Roman" w:cs="Times New Roman"/>
          <w:sz w:val="24"/>
          <w:szCs w:val="24"/>
        </w:rPr>
        <w:t xml:space="preserve"> – PROCEDÊNCIA DA AÇÃO</w:t>
      </w:r>
    </w:p>
    <w:p w:rsidR="004D292A" w:rsidRPr="004D292A" w:rsidRDefault="004D292A" w:rsidP="003A4696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  <w:u w:color="000000"/>
        </w:rPr>
        <w:t>II.1</w:t>
      </w:r>
      <w:r w:rsidRPr="004D292A">
        <w:rPr>
          <w:rFonts w:ascii="Times New Roman" w:hAnsi="Times New Roman" w:cs="Times New Roman"/>
          <w:sz w:val="24"/>
          <w:szCs w:val="24"/>
        </w:rPr>
        <w:t xml:space="preserve"> – CABIMENTO DOS PRESENTES EMBARGOS DE TERCEIRO – INTELIGÊNCIA DO ARTIGO </w:t>
      </w:r>
      <w:r w:rsidR="00D71FC7">
        <w:rPr>
          <w:rFonts w:ascii="Times New Roman" w:hAnsi="Times New Roman" w:cs="Times New Roman"/>
          <w:sz w:val="24"/>
          <w:szCs w:val="24"/>
        </w:rPr>
        <w:t>674,</w:t>
      </w:r>
      <w:r w:rsidRPr="004D292A">
        <w:rPr>
          <w:rFonts w:ascii="Times New Roman" w:hAnsi="Times New Roman" w:cs="Times New Roman"/>
          <w:sz w:val="24"/>
          <w:szCs w:val="24"/>
        </w:rPr>
        <w:t xml:space="preserve"> § </w:t>
      </w:r>
      <w:r w:rsidR="00D71FC7">
        <w:rPr>
          <w:rFonts w:ascii="Times New Roman" w:hAnsi="Times New Roman" w:cs="Times New Roman"/>
          <w:sz w:val="24"/>
          <w:szCs w:val="24"/>
        </w:rPr>
        <w:t>2</w:t>
      </w:r>
      <w:r w:rsidRPr="004D292A">
        <w:rPr>
          <w:rFonts w:ascii="Times New Roman" w:hAnsi="Times New Roman" w:cs="Times New Roman"/>
          <w:sz w:val="24"/>
          <w:szCs w:val="24"/>
        </w:rPr>
        <w:t xml:space="preserve">º, </w:t>
      </w:r>
      <w:r w:rsidR="00D71FC7">
        <w:rPr>
          <w:rFonts w:ascii="Times New Roman" w:hAnsi="Times New Roman" w:cs="Times New Roman"/>
          <w:sz w:val="24"/>
          <w:szCs w:val="24"/>
        </w:rPr>
        <w:t xml:space="preserve">inc. I </w:t>
      </w:r>
      <w:r w:rsidRPr="004D292A">
        <w:rPr>
          <w:rFonts w:ascii="Times New Roman" w:hAnsi="Times New Roman" w:cs="Times New Roman"/>
          <w:sz w:val="24"/>
          <w:szCs w:val="24"/>
        </w:rPr>
        <w:t>DO CPC – SÚMULA 134 DO STJ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8.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Ab initio</w:t>
      </w:r>
      <w:r w:rsidRPr="004D292A">
        <w:rPr>
          <w:rFonts w:ascii="Times New Roman" w:hAnsi="Times New Roman" w:cs="Times New Roman"/>
          <w:sz w:val="24"/>
          <w:szCs w:val="24"/>
        </w:rPr>
        <w:t xml:space="preserve">, cumpre ressaltar a incontestável legitimidade ativa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 xml:space="preserve">ad causam </w:t>
      </w:r>
      <w:r w:rsidRPr="004D292A">
        <w:rPr>
          <w:rFonts w:ascii="Times New Roman" w:hAnsi="Times New Roman" w:cs="Times New Roman"/>
          <w:sz w:val="24"/>
          <w:szCs w:val="24"/>
        </w:rPr>
        <w:t>da embargante para propor os presentes embargos de terceiro, ante a turb</w:t>
      </w:r>
      <w:r w:rsidR="00F21831">
        <w:rPr>
          <w:rFonts w:ascii="Times New Roman" w:hAnsi="Times New Roman" w:cs="Times New Roman"/>
          <w:sz w:val="24"/>
          <w:szCs w:val="24"/>
        </w:rPr>
        <w:t>ação na posse de bens de sua co</w:t>
      </w:r>
      <w:r w:rsidRPr="004D292A">
        <w:rPr>
          <w:rFonts w:ascii="Times New Roman" w:hAnsi="Times New Roman" w:cs="Times New Roman"/>
          <w:sz w:val="24"/>
          <w:szCs w:val="24"/>
        </w:rPr>
        <w:t>propriedade, advinda do ato judicial da “</w:t>
      </w:r>
      <w:r w:rsidRPr="007C1E72">
        <w:rPr>
          <w:rFonts w:ascii="Times New Roman" w:hAnsi="Times New Roman" w:cs="Times New Roman"/>
          <w:i/>
          <w:sz w:val="24"/>
          <w:szCs w:val="24"/>
        </w:rPr>
        <w:t>penhora</w:t>
      </w:r>
      <w:r w:rsidRPr="004D292A">
        <w:rPr>
          <w:rFonts w:ascii="Times New Roman" w:hAnsi="Times New Roman" w:cs="Times New Roman"/>
          <w:sz w:val="24"/>
          <w:szCs w:val="24"/>
        </w:rPr>
        <w:t xml:space="preserve">” efetivada no processo da execução apensada que a embargante não figura como executada. </w:t>
      </w:r>
    </w:p>
    <w:p w:rsidR="004D292A" w:rsidRPr="004D292A" w:rsidRDefault="004D292A" w:rsidP="003A4696">
      <w:pPr>
        <w:pStyle w:val="Noparagraphstyle"/>
        <w:suppressAutoHyphens/>
        <w:ind w:right="-568"/>
        <w:jc w:val="both"/>
      </w:pPr>
    </w:p>
    <w:p w:rsid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9.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Data venia</w:t>
      </w:r>
      <w:r w:rsidRPr="004D292A">
        <w:rPr>
          <w:rFonts w:ascii="Times New Roman" w:hAnsi="Times New Roman" w:cs="Times New Roman"/>
          <w:sz w:val="24"/>
          <w:szCs w:val="24"/>
        </w:rPr>
        <w:t>, sabido ser inaceitável que um terceiro possa sofrer restrições em seu patrimônio em virtude de ato jurisdicional de constrição oriundo de execução que NÃO É DEVEDORA, sequer participando da relaçã</w:t>
      </w:r>
      <w:r>
        <w:rPr>
          <w:rFonts w:ascii="Times New Roman" w:hAnsi="Times New Roman" w:cs="Times New Roman"/>
          <w:sz w:val="24"/>
          <w:szCs w:val="24"/>
        </w:rPr>
        <w:t>o processual travada entre exequ</w:t>
      </w:r>
      <w:r w:rsidRPr="004D292A">
        <w:rPr>
          <w:rFonts w:ascii="Times New Roman" w:hAnsi="Times New Roman" w:cs="Times New Roman"/>
          <w:sz w:val="24"/>
          <w:szCs w:val="24"/>
        </w:rPr>
        <w:t>ente e executado.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10. Outra não é a função dos </w:t>
      </w:r>
      <w:r w:rsidRPr="004D292A">
        <w:rPr>
          <w:rFonts w:ascii="Times New Roman" w:hAnsi="Times New Roman" w:cs="Times New Roman"/>
          <w:i/>
          <w:iCs/>
          <w:sz w:val="24"/>
          <w:szCs w:val="24"/>
          <w:u w:color="000000"/>
        </w:rPr>
        <w:t>embargos de terceiro</w:t>
      </w:r>
      <w:r w:rsidRPr="004D292A">
        <w:rPr>
          <w:rFonts w:ascii="Times New Roman" w:hAnsi="Times New Roman" w:cs="Times New Roman"/>
          <w:sz w:val="24"/>
          <w:szCs w:val="24"/>
        </w:rPr>
        <w:t xml:space="preserve"> senão ser um remédio jurídico contra ato do Estado que venha a constranger bens de terceiros estranhos à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res in iudicio deducta.</w:t>
      </w:r>
      <w:r w:rsidRPr="004D292A">
        <w:rPr>
          <w:rFonts w:ascii="Times New Roman" w:hAnsi="Times New Roman" w:cs="Times New Roman"/>
          <w:sz w:val="24"/>
          <w:szCs w:val="24"/>
        </w:rPr>
        <w:t xml:space="preserve"> Percebe-se no caso em questão o claro tolhimento da posse e propriedade da embargante, diante da PENHORA de bem móvel que lhe pertence, numa execução que NÃO PARTICIPA DA RELAÇÃO PROCESSUAL.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11. O art. </w:t>
      </w:r>
      <w:r w:rsidR="00D71FC7">
        <w:rPr>
          <w:rFonts w:ascii="Times New Roman" w:hAnsi="Times New Roman" w:cs="Times New Roman"/>
          <w:sz w:val="24"/>
          <w:szCs w:val="24"/>
        </w:rPr>
        <w:t>674,</w:t>
      </w:r>
      <w:r w:rsidR="00D71FC7" w:rsidRPr="004D292A">
        <w:rPr>
          <w:rFonts w:ascii="Times New Roman" w:hAnsi="Times New Roman" w:cs="Times New Roman"/>
          <w:sz w:val="24"/>
          <w:szCs w:val="24"/>
        </w:rPr>
        <w:t xml:space="preserve"> § </w:t>
      </w:r>
      <w:r w:rsidR="00D71FC7">
        <w:rPr>
          <w:rFonts w:ascii="Times New Roman" w:hAnsi="Times New Roman" w:cs="Times New Roman"/>
          <w:sz w:val="24"/>
          <w:szCs w:val="24"/>
        </w:rPr>
        <w:t>2</w:t>
      </w:r>
      <w:r w:rsidR="00D71FC7" w:rsidRPr="004D292A">
        <w:rPr>
          <w:rFonts w:ascii="Times New Roman" w:hAnsi="Times New Roman" w:cs="Times New Roman"/>
          <w:sz w:val="24"/>
          <w:szCs w:val="24"/>
        </w:rPr>
        <w:t xml:space="preserve">º, </w:t>
      </w:r>
      <w:r w:rsidR="00D71FC7">
        <w:rPr>
          <w:rFonts w:ascii="Times New Roman" w:hAnsi="Times New Roman" w:cs="Times New Roman"/>
          <w:sz w:val="24"/>
          <w:szCs w:val="24"/>
        </w:rPr>
        <w:t xml:space="preserve">inc. I </w:t>
      </w:r>
      <w:r w:rsidRPr="004D292A">
        <w:rPr>
          <w:rFonts w:ascii="Times New Roman" w:hAnsi="Times New Roman" w:cs="Times New Roman"/>
          <w:sz w:val="24"/>
          <w:szCs w:val="24"/>
        </w:rPr>
        <w:t xml:space="preserve">do CPC confere legitimidade ativa como terceiro ao cônjuge em situações à vertente,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“quando defende a posse de bens ... ou de sua meação”</w:t>
      </w:r>
      <w:r w:rsidRPr="004D292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D292A">
        <w:rPr>
          <w:rFonts w:ascii="Times New Roman" w:hAnsi="Times New Roman" w:cs="Times New Roman"/>
          <w:sz w:val="24"/>
          <w:szCs w:val="24"/>
        </w:rPr>
        <w:t xml:space="preserve"> (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4D292A">
        <w:rPr>
          <w:rFonts w:ascii="Times New Roman" w:hAnsi="Times New Roman" w:cs="Times New Roman"/>
          <w:sz w:val="24"/>
          <w:szCs w:val="24"/>
        </w:rPr>
        <w:t>).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pacing w:val="-4"/>
          <w:sz w:val="24"/>
          <w:szCs w:val="24"/>
        </w:rPr>
        <w:t xml:space="preserve">12. A legitimidade </w:t>
      </w:r>
      <w:r w:rsidR="003A46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92A">
        <w:rPr>
          <w:rFonts w:ascii="Times New Roman" w:hAnsi="Times New Roman" w:cs="Times New Roman"/>
          <w:spacing w:val="-4"/>
          <w:sz w:val="24"/>
          <w:szCs w:val="24"/>
        </w:rPr>
        <w:t>ativa</w:t>
      </w:r>
      <w:r w:rsidR="003A46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9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92A">
        <w:rPr>
          <w:rFonts w:ascii="Times New Roman" w:hAnsi="Times New Roman" w:cs="Times New Roman"/>
          <w:i/>
          <w:iCs/>
          <w:spacing w:val="-4"/>
          <w:sz w:val="24"/>
          <w:szCs w:val="24"/>
        </w:rPr>
        <w:t>ad causam</w:t>
      </w:r>
      <w:r w:rsidRPr="004D292A">
        <w:rPr>
          <w:rFonts w:ascii="Times New Roman" w:hAnsi="Times New Roman" w:cs="Times New Roman"/>
          <w:spacing w:val="-4"/>
          <w:sz w:val="24"/>
          <w:szCs w:val="24"/>
        </w:rPr>
        <w:t xml:space="preserve"> está sedimentada no meio jurídico por meio da Súmula 134 do STJ</w:t>
      </w:r>
      <w:r w:rsidRPr="004D292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3"/>
      </w:r>
      <w:r w:rsidRPr="004D292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D292A" w:rsidRPr="004D292A" w:rsidRDefault="004D292A" w:rsidP="003A4696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  <w:u w:color="000000"/>
        </w:rPr>
        <w:t>II.2</w:t>
      </w:r>
      <w:r w:rsidRPr="004D292A">
        <w:rPr>
          <w:rFonts w:ascii="Times New Roman" w:hAnsi="Times New Roman" w:cs="Times New Roman"/>
          <w:sz w:val="24"/>
          <w:szCs w:val="24"/>
        </w:rPr>
        <w:t xml:space="preserve"> – AFASTAMENTO DA MEAÇÃO DA EMBARGANTE SOBRE A PENHORA REALIZADA NA EXECUÇÃO APENSADA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O PATRIMÔNIO DE MEAÇÃO DA CÔNJUGE-EMBARGANTE, CASADA SOB O REGIME DE COMUNHÃO UNIVERSAL DE BENS COM O CO-EXECUTADO, SOMENTE RESPONDERIA PELA DÍVIDA EXECUTADA SE O PRODUTO DO ALEGADO CRÉDITO TRIBUTÁRIO TIVESSE REVERTIDO EM BENEFÍCIO DA FAMÍLIA.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TRATANDO-SE DE EXECUÇÃO FISCAL AJUIZADA EM FACE DE O MARIDO CO-OBRIGADO EXERCER FUNÇÃO DE PRESIDÊNCIA DE COOPERATIVA, NÃO RESPONDE PELA DÍVIDA A MEAÇÃO DA CÔNJUGE-EMBARGANTE.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ESTATUTO DA MULHER CASADA.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i/>
          <w:iCs/>
          <w:sz w:val="24"/>
          <w:szCs w:val="24"/>
        </w:rPr>
        <w:t>ONUS PROBANDI</w:t>
      </w:r>
      <w:r w:rsidRPr="004D292A">
        <w:rPr>
          <w:rFonts w:ascii="Times New Roman" w:hAnsi="Times New Roman" w:cs="Times New Roman"/>
          <w:sz w:val="24"/>
          <w:szCs w:val="24"/>
        </w:rPr>
        <w:t xml:space="preserve"> É DA EMBARGADA.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PRECEDENTES NA DOUTRINA E JURISPRUDÊNCIA.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13. Os presentes embargos de terceiro têm como propósito único a defesa da meação da embargante sobre a penhora recaída sobre a metade dos bens de sua propriedade. 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14. Indubitável a propriedade da embargante sobre a metade do veículo penhorado, pois casada sob o regime de comu</w:t>
      </w:r>
      <w:r w:rsidR="00F21831">
        <w:rPr>
          <w:rFonts w:ascii="Times New Roman" w:hAnsi="Times New Roman" w:cs="Times New Roman"/>
          <w:sz w:val="24"/>
          <w:szCs w:val="24"/>
        </w:rPr>
        <w:t>nhão universal de bens com o co</w:t>
      </w:r>
      <w:r w:rsidRPr="004D292A">
        <w:rPr>
          <w:rFonts w:ascii="Times New Roman" w:hAnsi="Times New Roman" w:cs="Times New Roman"/>
          <w:sz w:val="24"/>
          <w:szCs w:val="24"/>
        </w:rPr>
        <w:t xml:space="preserve">executado ....,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ex vi</w:t>
      </w:r>
      <w:r w:rsidRPr="004D292A">
        <w:rPr>
          <w:rFonts w:ascii="Times New Roman" w:hAnsi="Times New Roman" w:cs="Times New Roman"/>
          <w:sz w:val="24"/>
          <w:szCs w:val="24"/>
        </w:rPr>
        <w:t xml:space="preserve"> art. 1.667do Código Civil</w:t>
      </w:r>
      <w:r w:rsidRPr="004D292A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4D2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15. Sobreleva anotar a ousadia e flagrante ilegalidade perpetrada pela embargada ao indicar para penhora a INTEGRALIDADE DOS BENS, mesmo saben</w:t>
      </w:r>
      <w:r w:rsidR="00F21831">
        <w:rPr>
          <w:rFonts w:ascii="Times New Roman" w:hAnsi="Times New Roman" w:cs="Times New Roman"/>
          <w:sz w:val="24"/>
          <w:szCs w:val="24"/>
        </w:rPr>
        <w:t>do que a responsabilidade do co</w:t>
      </w:r>
      <w:r w:rsidRPr="004D292A">
        <w:rPr>
          <w:rFonts w:ascii="Times New Roman" w:hAnsi="Times New Roman" w:cs="Times New Roman"/>
          <w:sz w:val="24"/>
          <w:szCs w:val="24"/>
        </w:rPr>
        <w:t>executado ...se deu por “</w:t>
      </w:r>
      <w:r w:rsidRPr="007C1E72">
        <w:rPr>
          <w:rFonts w:ascii="Times New Roman" w:hAnsi="Times New Roman" w:cs="Times New Roman"/>
          <w:i/>
          <w:sz w:val="24"/>
          <w:szCs w:val="24"/>
        </w:rPr>
        <w:t>substituição</w:t>
      </w:r>
      <w:r w:rsidRPr="004D292A">
        <w:rPr>
          <w:rFonts w:ascii="Times New Roman" w:hAnsi="Times New Roman" w:cs="Times New Roman"/>
          <w:sz w:val="24"/>
          <w:szCs w:val="24"/>
        </w:rPr>
        <w:t>”, em virtude do cargo de Presidência que ocupava na época dos fato</w:t>
      </w:r>
      <w:r>
        <w:rPr>
          <w:rFonts w:ascii="Times New Roman" w:hAnsi="Times New Roman" w:cs="Times New Roman"/>
          <w:sz w:val="24"/>
          <w:szCs w:val="24"/>
        </w:rPr>
        <w:t>s geradores da CDA exequ</w:t>
      </w:r>
      <w:r w:rsidRPr="004D292A">
        <w:rPr>
          <w:rFonts w:ascii="Times New Roman" w:hAnsi="Times New Roman" w:cs="Times New Roman"/>
          <w:sz w:val="24"/>
          <w:szCs w:val="24"/>
        </w:rPr>
        <w:t>enda, implicando dizer, evidentemente, que o débito gerado nos idos de “....” não foi realizado em proveito da embar</w:t>
      </w:r>
      <w:r w:rsidR="00F21831">
        <w:rPr>
          <w:rFonts w:ascii="Times New Roman" w:hAnsi="Times New Roman" w:cs="Times New Roman"/>
          <w:sz w:val="24"/>
          <w:szCs w:val="24"/>
        </w:rPr>
        <w:t>gante (esposa) ou família do co</w:t>
      </w:r>
      <w:r w:rsidRPr="004D292A">
        <w:rPr>
          <w:rFonts w:ascii="Times New Roman" w:hAnsi="Times New Roman" w:cs="Times New Roman"/>
          <w:sz w:val="24"/>
          <w:szCs w:val="24"/>
        </w:rPr>
        <w:t xml:space="preserve">devedor pessoa física,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data venia</w:t>
      </w:r>
      <w:r w:rsidRPr="004D292A">
        <w:rPr>
          <w:rFonts w:ascii="Times New Roman" w:hAnsi="Times New Roman" w:cs="Times New Roman"/>
          <w:sz w:val="24"/>
          <w:szCs w:val="24"/>
        </w:rPr>
        <w:t>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16. Assim, a embargada penetrou de maneira ilícita e sem qualquer cautela na metade do patrimônio de propriedade da embargante, me</w:t>
      </w:r>
      <w:r>
        <w:rPr>
          <w:rFonts w:ascii="Times New Roman" w:hAnsi="Times New Roman" w:cs="Times New Roman"/>
          <w:sz w:val="24"/>
          <w:szCs w:val="24"/>
        </w:rPr>
        <w:t>smo sabendo que não figura no po</w:t>
      </w:r>
      <w:r w:rsidRPr="004D292A">
        <w:rPr>
          <w:rFonts w:ascii="Times New Roman" w:hAnsi="Times New Roman" w:cs="Times New Roman"/>
          <w:sz w:val="24"/>
          <w:szCs w:val="24"/>
        </w:rPr>
        <w:t xml:space="preserve">lo passivo da execução a origem da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 xml:space="preserve">causa debendi </w:t>
      </w:r>
      <w:r w:rsidRPr="004D292A">
        <w:rPr>
          <w:rFonts w:ascii="Times New Roman" w:hAnsi="Times New Roman" w:cs="Times New Roman"/>
          <w:sz w:val="24"/>
          <w:szCs w:val="24"/>
        </w:rPr>
        <w:t>da CDA e o estado civil do executado</w:t>
      </w:r>
      <w:r w:rsidRPr="004D292A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4D292A">
        <w:rPr>
          <w:rFonts w:ascii="Times New Roman" w:hAnsi="Times New Roman" w:cs="Times New Roman"/>
          <w:sz w:val="24"/>
          <w:szCs w:val="24"/>
        </w:rPr>
        <w:t>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17. Outrossim, insista-se, a solidariedade passiva pelo crédito tributário que constitui a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causa debendi</w:t>
      </w:r>
      <w:r w:rsidRPr="004D292A">
        <w:rPr>
          <w:rFonts w:ascii="Times New Roman" w:hAnsi="Times New Roman" w:cs="Times New Roman"/>
          <w:sz w:val="24"/>
          <w:szCs w:val="24"/>
        </w:rPr>
        <w:t xml:space="preserve"> das Certidões de Dívida Ativa na execução aparelhada em apenso foram atribuídas ao cônjuge da embargante por substituição, pelo motivo único e exclusivo de que seria o “</w:t>
      </w:r>
      <w:r w:rsidRPr="007C1E72">
        <w:rPr>
          <w:rFonts w:ascii="Times New Roman" w:hAnsi="Times New Roman" w:cs="Times New Roman"/>
          <w:i/>
          <w:sz w:val="24"/>
          <w:szCs w:val="24"/>
        </w:rPr>
        <w:t>Presidente</w:t>
      </w:r>
      <w:r w:rsidRPr="004D292A">
        <w:rPr>
          <w:rFonts w:ascii="Times New Roman" w:hAnsi="Times New Roman" w:cs="Times New Roman"/>
          <w:sz w:val="24"/>
          <w:szCs w:val="24"/>
        </w:rPr>
        <w:t>” da devedora principal, nada volvendo em benefício da</w:t>
      </w:r>
      <w:r w:rsidR="00F21831">
        <w:rPr>
          <w:rFonts w:ascii="Times New Roman" w:hAnsi="Times New Roman" w:cs="Times New Roman"/>
          <w:sz w:val="24"/>
          <w:szCs w:val="24"/>
        </w:rPr>
        <w:t xml:space="preserve"> embargante ou da família do co</w:t>
      </w:r>
      <w:r w:rsidRPr="004D292A">
        <w:rPr>
          <w:rFonts w:ascii="Times New Roman" w:hAnsi="Times New Roman" w:cs="Times New Roman"/>
          <w:sz w:val="24"/>
          <w:szCs w:val="24"/>
        </w:rPr>
        <w:t>executado ...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18. A solidariedade passiva para responder a esse tipo de débito tributário-fiscal tem escopo nas hipóteses de impossibilidade de cumprimento da obrigação pelo devedor-contribuinte principal, gerando a responsabilidade pessoal dos diretores de pessoas jurídicas de direito privado “</w:t>
      </w:r>
      <w:r w:rsidRPr="007C1E72">
        <w:rPr>
          <w:rFonts w:ascii="Times New Roman" w:hAnsi="Times New Roman" w:cs="Times New Roman"/>
          <w:i/>
          <w:sz w:val="24"/>
          <w:szCs w:val="24"/>
        </w:rPr>
        <w:t>em substituição</w:t>
      </w:r>
      <w:r w:rsidRPr="004D292A">
        <w:rPr>
          <w:rFonts w:ascii="Times New Roman" w:hAnsi="Times New Roman" w:cs="Times New Roman"/>
          <w:sz w:val="24"/>
          <w:szCs w:val="24"/>
        </w:rPr>
        <w:t xml:space="preserve">”, resultantes de atos praticados com excesso de poderes ou infração de lei, contrato social ou estatutos (Código Tributário Nacional, art. 135,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Pr="004D292A">
        <w:rPr>
          <w:rFonts w:ascii="Times New Roman" w:hAnsi="Times New Roman" w:cs="Times New Roman"/>
          <w:sz w:val="24"/>
          <w:szCs w:val="24"/>
        </w:rPr>
        <w:t>e incisos I e III)</w:t>
      </w:r>
      <w:r w:rsidRPr="004D292A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4D292A">
        <w:rPr>
          <w:rFonts w:ascii="Times New Roman" w:hAnsi="Times New Roman" w:cs="Times New Roman"/>
          <w:sz w:val="24"/>
          <w:szCs w:val="24"/>
        </w:rPr>
        <w:t>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19. </w:t>
      </w:r>
      <w:r w:rsidRPr="003A4696">
        <w:rPr>
          <w:rFonts w:ascii="Times New Roman" w:hAnsi="Times New Roman" w:cs="Times New Roman"/>
          <w:i/>
          <w:sz w:val="24"/>
          <w:szCs w:val="24"/>
        </w:rPr>
        <w:t xml:space="preserve">Redobrada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venia</w:t>
      </w:r>
      <w:r w:rsidRPr="004D292A">
        <w:rPr>
          <w:rFonts w:ascii="Times New Roman" w:hAnsi="Times New Roman" w:cs="Times New Roman"/>
          <w:sz w:val="24"/>
          <w:szCs w:val="24"/>
        </w:rPr>
        <w:t xml:space="preserve">, jamais a embargada poderia indicar e diligenciar para se proceder à penhora de bens da virago, embargante, casada sob o regime de comunhão universal de bens, para responder débitos do marido em execução fiscal quando o crédito tributário-fiscal decorreu de princípios de ordem legal, de jaez formal, previsto nos arts. 134 e 135 do CTN, diante da posição do varão à época do fato gerador, como Presidente da devedora principal. </w:t>
      </w:r>
    </w:p>
    <w:p w:rsidR="00B94D12" w:rsidRDefault="00B94D12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20. Em nenhuma linha sequer nos autos apensados da execução, a embargada asseverou que a conjeturada dívida fiscal tenha sido revertida em benefício do casal</w:t>
      </w:r>
      <w:r w:rsidRPr="004D292A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4D2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21. E sem a prova cabal de que o crédito tributário-fiscal volveu em benefício do cônjuge virago ou da família do executado, cujo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onus</w:t>
      </w:r>
      <w:r w:rsidR="003A46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probandi</w:t>
      </w:r>
      <w:r>
        <w:rPr>
          <w:rFonts w:ascii="Times New Roman" w:hAnsi="Times New Roman" w:cs="Times New Roman"/>
          <w:sz w:val="24"/>
          <w:szCs w:val="24"/>
        </w:rPr>
        <w:t xml:space="preserve"> incumbe à embargada-exequ</w:t>
      </w:r>
      <w:r w:rsidRPr="004D292A">
        <w:rPr>
          <w:rFonts w:ascii="Times New Roman" w:hAnsi="Times New Roman" w:cs="Times New Roman"/>
          <w:sz w:val="24"/>
          <w:szCs w:val="24"/>
        </w:rPr>
        <w:t xml:space="preserve">ente, jamais a embargada poderia almejar aquinhoar a meação da embargante. A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quaestio juris</w:t>
      </w:r>
      <w:r w:rsidRPr="004D292A">
        <w:rPr>
          <w:rFonts w:ascii="Times New Roman" w:hAnsi="Times New Roman" w:cs="Times New Roman"/>
          <w:sz w:val="24"/>
          <w:szCs w:val="24"/>
        </w:rPr>
        <w:t xml:space="preserve"> está sedimentada no augusto SUPERIOR TRIBUNAL DE JUSTIÇA por meio do enunciado da Súmula 251, cuja leitura por si só é esclarecedora,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 w:rsidRPr="004D292A">
        <w:rPr>
          <w:rFonts w:ascii="Times New Roman" w:hAnsi="Times New Roman" w:cs="Times New Roman"/>
          <w:sz w:val="24"/>
          <w:szCs w:val="24"/>
        </w:rPr>
        <w:t xml:space="preserve">: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“Súmula 251. A meação só responde pelo ato ilícito quando o credor, na execução fiscal, provar que o enriquecimento dele resultante, aproveitou ao casal”</w:t>
      </w:r>
      <w:r w:rsidRPr="004D292A">
        <w:rPr>
          <w:rFonts w:ascii="Times New Roman" w:hAnsi="Times New Roman" w:cs="Times New Roman"/>
          <w:sz w:val="24"/>
          <w:szCs w:val="24"/>
        </w:rPr>
        <w:t>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22. Múltiplos arestos nesse sentido pelo STJ,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ad exemplificandum tantum</w:t>
      </w:r>
      <w:r w:rsidRPr="004D292A">
        <w:rPr>
          <w:rFonts w:ascii="Times New Roman" w:hAnsi="Times New Roman" w:cs="Times New Roman"/>
          <w:sz w:val="24"/>
          <w:szCs w:val="24"/>
        </w:rPr>
        <w:t>: Resp 641.400/PB, DJ 01.02.2005</w:t>
      </w:r>
      <w:r w:rsidRPr="004D292A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4D292A">
        <w:rPr>
          <w:rFonts w:ascii="Times New Roman" w:hAnsi="Times New Roman" w:cs="Times New Roman"/>
          <w:sz w:val="24"/>
          <w:szCs w:val="24"/>
        </w:rPr>
        <w:t xml:space="preserve">; AGA 183.444/SP, DJ 04.10.1999; Resp 121.235/SP, DJ 19.11.2001; Resp 119.957/SP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apud</w:t>
      </w:r>
      <w:r w:rsidRPr="004D292A">
        <w:rPr>
          <w:rFonts w:ascii="Times New Roman" w:hAnsi="Times New Roman" w:cs="Times New Roman"/>
          <w:sz w:val="24"/>
          <w:szCs w:val="24"/>
        </w:rPr>
        <w:t xml:space="preserve"> Lex-STJ 104:233; Resp 440.771/PR; Resp 304.562/SP; Resp 525.527/RS...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23. Vogando na esteira o respeitado TRIBUNAL REGIONAL FEDERAL DA 1ª REGIÃO: apel. cível n. 2001.01.99.039548-9/MG, DJ 20.07.2007; apel.cível n. 1999.36.00.004407.4/MT, DJ 25.05.2007; REO 2001.39.00.001357-0/PA, DJ 06.07.2007...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Default="004D292A" w:rsidP="003A4696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4D292A">
        <w:rPr>
          <w:rFonts w:ascii="Times New Roman" w:hAnsi="Times New Roman" w:cs="Times New Roman"/>
          <w:spacing w:val="-4"/>
          <w:sz w:val="24"/>
          <w:szCs w:val="24"/>
        </w:rPr>
        <w:t>24. Não discrepa o honrado TRIBUNAL DE JUSTIÇA DO ESTADO DE MINAS GERAIS:</w:t>
      </w:r>
    </w:p>
    <w:p w:rsidR="003A4696" w:rsidRPr="004D292A" w:rsidRDefault="003A4696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“APELAÇÃO CÍVEL – </w:t>
      </w:r>
      <w:r w:rsidRPr="004D292A">
        <w:rPr>
          <w:rFonts w:ascii="Times New Roman" w:hAnsi="Times New Roman" w:cs="Times New Roman"/>
          <w:i/>
          <w:iCs/>
          <w:sz w:val="24"/>
          <w:szCs w:val="24"/>
          <w:u w:color="000000"/>
        </w:rPr>
        <w:t>EMBARGOS DE TERCEIRO</w:t>
      </w:r>
      <w:r w:rsidRPr="004D292A">
        <w:rPr>
          <w:rFonts w:ascii="Times New Roman" w:hAnsi="Times New Roman" w:cs="Times New Roman"/>
          <w:sz w:val="24"/>
          <w:szCs w:val="24"/>
          <w:u w:color="000000"/>
        </w:rPr>
        <w:t xml:space="preserve"> – </w:t>
      </w:r>
      <w:r w:rsidRPr="004D292A">
        <w:rPr>
          <w:rFonts w:ascii="Times New Roman" w:hAnsi="Times New Roman" w:cs="Times New Roman"/>
          <w:i/>
          <w:iCs/>
          <w:sz w:val="24"/>
          <w:szCs w:val="24"/>
          <w:u w:color="000000"/>
        </w:rPr>
        <w:t>EXECUÇÃO FISCAL</w:t>
      </w:r>
      <w:r w:rsidRPr="004D292A">
        <w:rPr>
          <w:rFonts w:ascii="Times New Roman" w:hAnsi="Times New Roman" w:cs="Times New Roman"/>
          <w:sz w:val="24"/>
          <w:szCs w:val="24"/>
        </w:rPr>
        <w:t xml:space="preserve"> – RESPONSABILIDADE PESSOAL DO SÓCIO – CÔNJUGE – MEAÇÃO – EXCLUSÃO – POSSIBILIDADE – REVERSÃO EM BENEFÍCIO DA FAMÍLIA – ÔNUS DA PROVA – CREDOR – Tratando-se de execução fisc</w:t>
      </w:r>
      <w:r w:rsidR="00811E2C">
        <w:rPr>
          <w:rFonts w:ascii="Times New Roman" w:hAnsi="Times New Roman" w:cs="Times New Roman"/>
          <w:sz w:val="24"/>
          <w:szCs w:val="24"/>
        </w:rPr>
        <w:t>al ajuizada em face de sócio co</w:t>
      </w:r>
      <w:r w:rsidRPr="004D292A">
        <w:rPr>
          <w:rFonts w:ascii="Times New Roman" w:hAnsi="Times New Roman" w:cs="Times New Roman"/>
          <w:sz w:val="24"/>
          <w:szCs w:val="24"/>
        </w:rPr>
        <w:t>obrigado, a meação do cônjuge somente responderá pelos ato</w:t>
      </w:r>
      <w:r>
        <w:rPr>
          <w:rFonts w:ascii="Times New Roman" w:hAnsi="Times New Roman" w:cs="Times New Roman"/>
          <w:sz w:val="24"/>
          <w:szCs w:val="24"/>
        </w:rPr>
        <w:t>s ilícitos praticados e, consequ</w:t>
      </w:r>
      <w:r w:rsidRPr="004D292A">
        <w:rPr>
          <w:rFonts w:ascii="Times New Roman" w:hAnsi="Times New Roman" w:cs="Times New Roman"/>
          <w:sz w:val="24"/>
          <w:szCs w:val="24"/>
        </w:rPr>
        <w:t>entemente, pela dívida executada, quando provado que o produto da infração reverteu-se em benefício da família, cumprindo ao credor o ônus da prova (TJMG, apel. cível/reexame necessário n. 1.0471.05.043.570-3/001 – 1ª Câmara Cível – Des. Rel. Armando Freire, DJ 23.03.2007);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pacing w:val="11"/>
          <w:sz w:val="24"/>
          <w:szCs w:val="24"/>
        </w:rPr>
        <w:lastRenderedPageBreak/>
        <w:t xml:space="preserve">25. </w:t>
      </w:r>
      <w:r w:rsidRPr="004D292A">
        <w:rPr>
          <w:rFonts w:ascii="Times New Roman" w:hAnsi="Times New Roman" w:cs="Times New Roman"/>
          <w:sz w:val="24"/>
          <w:szCs w:val="24"/>
        </w:rPr>
        <w:t xml:space="preserve">Agrega-se a dicção da Lei n. 4.121, de 27/08/62, conhecida como Estatuto da Mulher Casada que em seu artigo 3º prescreve a defesa da meação: </w:t>
      </w:r>
      <w:r w:rsidRPr="004D292A">
        <w:rPr>
          <w:rFonts w:ascii="Times New Roman" w:hAnsi="Times New Roman" w:cs="Times New Roman"/>
          <w:i/>
          <w:iCs/>
          <w:sz w:val="24"/>
          <w:szCs w:val="24"/>
        </w:rPr>
        <w:t>“na cobrança de títulos de dívida de qualquer natureza, firmados por um só dos cônjuges, ainda que casados pelo regime de comunhão universal, somente responderão os bens particulares do signatário e os comuns até o limite de sua meação”</w:t>
      </w:r>
      <w:r w:rsidRPr="004D2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26. Destarte, não tendo o crédito tributário-fiscal redundado em proveito da embargante ou de sua família, impõe-se o afastamento de sua meação da penhora recaída na execução apensada, vez que essa matéria já é por demais sabatinada nos pretórios pátrios, inclusive, sumulada.</w:t>
      </w:r>
    </w:p>
    <w:p w:rsidR="00B94D12" w:rsidRDefault="00B94D12" w:rsidP="003A4696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  <w:u w:color="000000"/>
        </w:rPr>
      </w:pPr>
    </w:p>
    <w:p w:rsidR="004D292A" w:rsidRPr="004D292A" w:rsidRDefault="004D292A" w:rsidP="003A4696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  <w:u w:color="000000"/>
        </w:rPr>
        <w:t>III</w:t>
      </w:r>
      <w:r w:rsidRPr="004D292A">
        <w:rPr>
          <w:rFonts w:ascii="Times New Roman" w:hAnsi="Times New Roman" w:cs="Times New Roman"/>
          <w:sz w:val="24"/>
          <w:szCs w:val="24"/>
        </w:rPr>
        <w:t xml:space="preserve"> – PEDIDOS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27. </w:t>
      </w:r>
      <w:r w:rsidRPr="004D292A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4D292A">
        <w:rPr>
          <w:rFonts w:ascii="Times New Roman" w:hAnsi="Times New Roman" w:cs="Times New Roman"/>
          <w:sz w:val="24"/>
          <w:szCs w:val="24"/>
        </w:rPr>
        <w:t xml:space="preserve">, a embargante </w:t>
      </w:r>
      <w:r w:rsidRPr="004D292A">
        <w:rPr>
          <w:rFonts w:ascii="Times New Roman" w:hAnsi="Times New Roman" w:cs="Times New Roman"/>
          <w:sz w:val="24"/>
          <w:szCs w:val="24"/>
          <w:u w:color="000000"/>
        </w:rPr>
        <w:t>requer</w:t>
      </w:r>
      <w:r w:rsidRPr="004D292A">
        <w:rPr>
          <w:rFonts w:ascii="Times New Roman" w:hAnsi="Times New Roman" w:cs="Times New Roman"/>
          <w:sz w:val="24"/>
          <w:szCs w:val="24"/>
        </w:rPr>
        <w:t>: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a) sejam JULGADOS PROCEDENTES OS PRESENTES EMBARGOS DE TERCEIRO para afastar a apreensão judicial da penhora recaída sobre a metade (50%) dos bens objeto da constrição efetivada no processo da execução apensada, expedindo-se ofícios ao DETRAN e Cartórios de Registro de Imóveis para o cancelamento dos registros das penhoras respectivas;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b) a condenação da embargada ao pagamento das custas processuais e honorários advocatícios;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c) a </w:t>
      </w:r>
      <w:r w:rsidRPr="003A4696">
        <w:rPr>
          <w:rFonts w:ascii="Times New Roman" w:hAnsi="Times New Roman" w:cs="Times New Roman"/>
          <w:iCs/>
          <w:sz w:val="24"/>
          <w:szCs w:val="24"/>
          <w:u w:color="000000"/>
        </w:rPr>
        <w:t>citação</w:t>
      </w:r>
      <w:r w:rsidRPr="003A4696">
        <w:rPr>
          <w:rFonts w:ascii="Times New Roman" w:hAnsi="Times New Roman" w:cs="Times New Roman"/>
          <w:sz w:val="24"/>
          <w:szCs w:val="24"/>
        </w:rPr>
        <w:t xml:space="preserve"> </w:t>
      </w:r>
      <w:r w:rsidRPr="004D292A">
        <w:rPr>
          <w:rFonts w:ascii="Times New Roman" w:hAnsi="Times New Roman" w:cs="Times New Roman"/>
          <w:sz w:val="24"/>
          <w:szCs w:val="24"/>
        </w:rPr>
        <w:t xml:space="preserve">da embargada na pessoa do seu representante legal, no endereço registrado no preâmbulo, para, querendo, contestar no prazo legal de </w:t>
      </w:r>
      <w:r w:rsidR="00D71FC7">
        <w:rPr>
          <w:rFonts w:ascii="Times New Roman" w:hAnsi="Times New Roman" w:cs="Times New Roman"/>
          <w:sz w:val="24"/>
          <w:szCs w:val="24"/>
        </w:rPr>
        <w:t>15</w:t>
      </w:r>
      <w:r w:rsidRPr="004D292A">
        <w:rPr>
          <w:rFonts w:ascii="Times New Roman" w:hAnsi="Times New Roman" w:cs="Times New Roman"/>
          <w:sz w:val="24"/>
          <w:szCs w:val="24"/>
        </w:rPr>
        <w:t xml:space="preserve"> (</w:t>
      </w:r>
      <w:r w:rsidR="00D71FC7">
        <w:rPr>
          <w:rFonts w:ascii="Times New Roman" w:hAnsi="Times New Roman" w:cs="Times New Roman"/>
          <w:sz w:val="24"/>
          <w:szCs w:val="24"/>
        </w:rPr>
        <w:t>quinze</w:t>
      </w:r>
      <w:r w:rsidRPr="004D292A">
        <w:rPr>
          <w:rFonts w:ascii="Times New Roman" w:hAnsi="Times New Roman" w:cs="Times New Roman"/>
          <w:sz w:val="24"/>
          <w:szCs w:val="24"/>
        </w:rPr>
        <w:t xml:space="preserve">) dias, </w:t>
      </w:r>
      <w:r w:rsidR="00D71FC7">
        <w:rPr>
          <w:rFonts w:ascii="Times New Roman" w:hAnsi="Times New Roman" w:cs="Times New Roman"/>
          <w:sz w:val="24"/>
          <w:szCs w:val="24"/>
        </w:rPr>
        <w:t>dobrado</w:t>
      </w:r>
      <w:r w:rsidRPr="004D292A">
        <w:rPr>
          <w:rFonts w:ascii="Times New Roman" w:hAnsi="Times New Roman" w:cs="Times New Roman"/>
          <w:sz w:val="24"/>
          <w:szCs w:val="24"/>
        </w:rPr>
        <w:t xml:space="preserve"> por força da lei instrumental civil (CPC, arts. 18</w:t>
      </w:r>
      <w:r w:rsidR="00D71FC7">
        <w:rPr>
          <w:rFonts w:ascii="Times New Roman" w:hAnsi="Times New Roman" w:cs="Times New Roman"/>
          <w:sz w:val="24"/>
          <w:szCs w:val="24"/>
        </w:rPr>
        <w:t>0</w:t>
      </w:r>
      <w:r w:rsidRPr="004D292A">
        <w:rPr>
          <w:rFonts w:ascii="Times New Roman" w:hAnsi="Times New Roman" w:cs="Times New Roman"/>
          <w:sz w:val="24"/>
          <w:szCs w:val="24"/>
        </w:rPr>
        <w:t xml:space="preserve"> e </w:t>
      </w:r>
      <w:r w:rsidR="00D71FC7">
        <w:rPr>
          <w:rFonts w:ascii="Times New Roman" w:hAnsi="Times New Roman" w:cs="Times New Roman"/>
          <w:sz w:val="24"/>
          <w:szCs w:val="24"/>
        </w:rPr>
        <w:t>679</w:t>
      </w:r>
      <w:r w:rsidRPr="004D292A">
        <w:rPr>
          <w:rFonts w:ascii="Times New Roman" w:hAnsi="Times New Roman" w:cs="Times New Roman"/>
          <w:sz w:val="24"/>
          <w:szCs w:val="24"/>
        </w:rPr>
        <w:t>)</w:t>
      </w:r>
      <w:r w:rsidR="00D71FC7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Pr="004D292A">
        <w:rPr>
          <w:rFonts w:ascii="Times New Roman" w:hAnsi="Times New Roman" w:cs="Times New Roman"/>
          <w:sz w:val="24"/>
          <w:szCs w:val="24"/>
        </w:rPr>
        <w:t>;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d) a produção de provas documental e testemunhal;</w:t>
      </w: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82782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 xml:space="preserve">e) </w:t>
      </w:r>
      <w:r w:rsidR="00582782">
        <w:rPr>
          <w:rFonts w:ascii="Times New Roman" w:hAnsi="Times New Roman" w:cs="Times New Roman"/>
          <w:sz w:val="24"/>
          <w:szCs w:val="24"/>
        </w:rPr>
        <w:t>a designação de audiência preliminar nos termos do art. 677, §1º do CPC, para que a inquirição das testemunhas ao final arroladas</w:t>
      </w:r>
      <w:r w:rsidR="00582782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582782">
        <w:rPr>
          <w:rFonts w:ascii="Times New Roman" w:hAnsi="Times New Roman" w:cs="Times New Roman"/>
          <w:sz w:val="24"/>
          <w:szCs w:val="24"/>
        </w:rPr>
        <w:t>;</w:t>
      </w:r>
    </w:p>
    <w:p w:rsidR="00582782" w:rsidRDefault="00582782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582782" w:rsidP="003A4696">
      <w:pPr>
        <w:pStyle w:val="Texto"/>
        <w:ind w:right="-568"/>
        <w:rPr>
          <w:rFonts w:ascii="Times New Roman" w:hAnsi="Times New Roman" w:cs="Times New Roman"/>
          <w:spacing w:val="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4D292A" w:rsidRPr="004D292A">
        <w:rPr>
          <w:rFonts w:ascii="Times New Roman" w:hAnsi="Times New Roman" w:cs="Times New Roman"/>
          <w:sz w:val="24"/>
          <w:szCs w:val="24"/>
        </w:rPr>
        <w:t xml:space="preserve">a distribuição por dependência à execução n. ...  (CPC, art. </w:t>
      </w:r>
      <w:r>
        <w:rPr>
          <w:rFonts w:ascii="Times New Roman" w:hAnsi="Times New Roman" w:cs="Times New Roman"/>
          <w:sz w:val="24"/>
          <w:szCs w:val="24"/>
        </w:rPr>
        <w:t>676</w:t>
      </w:r>
      <w:r w:rsidR="004D292A" w:rsidRPr="004D292A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 w:rsidR="004D292A" w:rsidRPr="004D292A">
        <w:rPr>
          <w:rFonts w:ascii="Times New Roman" w:hAnsi="Times New Roman" w:cs="Times New Roman"/>
          <w:sz w:val="24"/>
          <w:szCs w:val="24"/>
        </w:rPr>
        <w:t>.</w:t>
      </w:r>
    </w:p>
    <w:p w:rsidR="004D292A" w:rsidRPr="004D292A" w:rsidRDefault="004D292A" w:rsidP="003A4696">
      <w:pPr>
        <w:pStyle w:val="Text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4D292A" w:rsidRPr="004D292A" w:rsidRDefault="004D292A" w:rsidP="003A469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582782" w:rsidRPr="004D292A" w:rsidRDefault="004D292A" w:rsidP="003A469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P. Deferimento.</w:t>
      </w:r>
    </w:p>
    <w:p w:rsidR="004D292A" w:rsidRPr="004D292A" w:rsidRDefault="004D292A" w:rsidP="003A469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(Local e data)</w:t>
      </w:r>
    </w:p>
    <w:p w:rsidR="004D292A" w:rsidRDefault="004D292A" w:rsidP="003A469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D292A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582782" w:rsidRDefault="00582782" w:rsidP="00F21831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582782" w:rsidRDefault="00582782" w:rsidP="003A469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 DE TESTUNHAS </w:t>
      </w:r>
    </w:p>
    <w:p w:rsidR="00582782" w:rsidRDefault="00582782" w:rsidP="003A469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1 ....</w:t>
      </w:r>
    </w:p>
    <w:p w:rsidR="00582782" w:rsidRDefault="00582782" w:rsidP="003A469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2 ...</w:t>
      </w:r>
    </w:p>
    <w:p w:rsidR="00582782" w:rsidRPr="00582782" w:rsidRDefault="00582782" w:rsidP="003A469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3...</w:t>
      </w:r>
    </w:p>
    <w:sectPr w:rsidR="00582782" w:rsidRPr="00582782" w:rsidSect="00260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CD" w:rsidRDefault="000D3ACD" w:rsidP="004D292A">
      <w:r>
        <w:separator/>
      </w:r>
    </w:p>
  </w:endnote>
  <w:endnote w:type="continuationSeparator" w:id="0">
    <w:p w:rsidR="000D3ACD" w:rsidRDefault="000D3ACD" w:rsidP="004D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CD" w:rsidRDefault="000D3ACD" w:rsidP="004D292A">
      <w:r>
        <w:separator/>
      </w:r>
    </w:p>
  </w:footnote>
  <w:footnote w:type="continuationSeparator" w:id="0">
    <w:p w:rsidR="000D3ACD" w:rsidRDefault="000D3ACD" w:rsidP="004D292A">
      <w:r>
        <w:continuationSeparator/>
      </w:r>
    </w:p>
  </w:footnote>
  <w:footnote w:id="1">
    <w:p w:rsidR="00D71FC7" w:rsidRDefault="00D71FC7" w:rsidP="003A4696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DA1AA6">
        <w:rPr>
          <w:b/>
        </w:rPr>
        <w:t>Art. 674</w:t>
      </w:r>
      <w:r>
        <w:t>.  Quem, não sendo parte no processo, sofrer constrição ou ameaça de constrição sobre bens que possua ou sobre os quais tenha direito incompatível com o ato constritivo, poderá requerer seu desfazimento ou sua inibição por meio de embargos de terceiro. § 1º Os embargos podem ser de terceiro proprietário, inclusive fiduciário, ou possuidor. § 2º Considera-se terceiro, para ajuizamento dos embargos: I - o cônjuge ou companheiro, quando defende a posse de bens próprios ou de sua meação, ressalvado o disposto no art. 843; II - o adquirente de bens cuja constrição decorreu de decisão que declara a ineficácia da alienação realizada em fraude à execução; III - quem sofre constrição judicial de seus bens por força de desconsideração da personalidade jurídica, de cujo incidente não fez parte; IV - o credor com garantia real para obstar expropriação judicial do objeto de direito real de garantia, caso não tenha sido intimado, nos termos legais dos atos expropriatórios respectivos. (...).</w:t>
      </w:r>
    </w:p>
  </w:footnote>
  <w:footnote w:id="2">
    <w:p w:rsidR="004D292A" w:rsidRPr="00D71FC7" w:rsidRDefault="004D292A" w:rsidP="003A4696">
      <w:pPr>
        <w:pStyle w:val="Rodap"/>
        <w:tabs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4D292A">
        <w:rPr>
          <w:sz w:val="20"/>
          <w:szCs w:val="20"/>
          <w:vertAlign w:val="superscript"/>
        </w:rPr>
        <w:footnoteRef/>
      </w:r>
      <w:r w:rsidR="00D71FC7" w:rsidRPr="00D71FC7">
        <w:rPr>
          <w:b/>
          <w:bCs/>
          <w:sz w:val="20"/>
          <w:szCs w:val="20"/>
        </w:rPr>
        <w:t xml:space="preserve">Art. 674.  </w:t>
      </w:r>
      <w:r w:rsidR="00D71FC7" w:rsidRPr="00D71FC7">
        <w:rPr>
          <w:bCs/>
          <w:sz w:val="20"/>
          <w:szCs w:val="20"/>
        </w:rPr>
        <w:t>Quem, não sendo parte no processo, sofrer constrição ou ameaça de constrição sobre bens que possua ou sobre os quais tenha direito incompatível com o ato constritivo, poderá requerer seu desfazimento ou sua inibição por meio de embargos de terceiro.</w:t>
      </w:r>
      <w:r w:rsidR="00D71FC7">
        <w:rPr>
          <w:bCs/>
          <w:sz w:val="20"/>
          <w:szCs w:val="20"/>
        </w:rPr>
        <w:t xml:space="preserve"> (...) </w:t>
      </w:r>
      <w:r w:rsidR="00D71FC7" w:rsidRPr="00D71FC7">
        <w:rPr>
          <w:b/>
          <w:bCs/>
          <w:sz w:val="20"/>
          <w:szCs w:val="20"/>
        </w:rPr>
        <w:t>§ 2</w:t>
      </w:r>
      <w:r w:rsidR="00D71FC7">
        <w:rPr>
          <w:b/>
          <w:bCs/>
          <w:sz w:val="20"/>
          <w:szCs w:val="20"/>
        </w:rPr>
        <w:t>º.</w:t>
      </w:r>
      <w:r w:rsidR="00D71FC7" w:rsidRPr="00D71FC7">
        <w:rPr>
          <w:bCs/>
          <w:sz w:val="20"/>
          <w:szCs w:val="20"/>
        </w:rPr>
        <w:t xml:space="preserve"> Considera-se terceiro, para ajuizamento dos embargos:</w:t>
      </w:r>
      <w:r w:rsidR="00D71FC7" w:rsidRPr="00D71FC7">
        <w:rPr>
          <w:b/>
          <w:bCs/>
          <w:sz w:val="20"/>
          <w:szCs w:val="20"/>
        </w:rPr>
        <w:t xml:space="preserve">I </w:t>
      </w:r>
      <w:r w:rsidR="00D71FC7" w:rsidRPr="00D71FC7">
        <w:rPr>
          <w:bCs/>
          <w:sz w:val="20"/>
          <w:szCs w:val="20"/>
        </w:rPr>
        <w:t>- o cônjuge ou companheiro, quando defende a posse de bens próprios ou de sua meação, ressalvado o disposto no art. 843;</w:t>
      </w:r>
      <w:r w:rsidR="00D71FC7">
        <w:rPr>
          <w:bCs/>
          <w:sz w:val="20"/>
          <w:szCs w:val="20"/>
        </w:rPr>
        <w:t xml:space="preserve"> (...).</w:t>
      </w:r>
    </w:p>
  </w:footnote>
  <w:footnote w:id="3">
    <w:p w:rsidR="004D292A" w:rsidRPr="004D292A" w:rsidRDefault="004D292A" w:rsidP="003A4696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4D292A">
        <w:rPr>
          <w:sz w:val="20"/>
          <w:szCs w:val="20"/>
          <w:vertAlign w:val="superscript"/>
        </w:rPr>
        <w:footnoteRef/>
      </w:r>
      <w:r w:rsidRPr="004D292A">
        <w:rPr>
          <w:b/>
          <w:sz w:val="20"/>
          <w:szCs w:val="20"/>
        </w:rPr>
        <w:t>STJ – Súmula n. 134.</w:t>
      </w:r>
      <w:r w:rsidRPr="004D292A">
        <w:rPr>
          <w:sz w:val="20"/>
          <w:szCs w:val="20"/>
        </w:rPr>
        <w:t xml:space="preserve"> Embora intimado da penhora em imóvel do casal, o cônjuge do executado pode opor embargos de terceiro para defender sua meação. </w:t>
      </w:r>
    </w:p>
  </w:footnote>
  <w:footnote w:id="4">
    <w:p w:rsidR="004D292A" w:rsidRPr="004D292A" w:rsidRDefault="004D292A" w:rsidP="003A4696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4D292A">
        <w:rPr>
          <w:sz w:val="20"/>
          <w:szCs w:val="20"/>
          <w:vertAlign w:val="superscript"/>
        </w:rPr>
        <w:footnoteRef/>
      </w:r>
      <w:r w:rsidRPr="004D292A">
        <w:rPr>
          <w:sz w:val="20"/>
          <w:szCs w:val="20"/>
        </w:rPr>
        <w:t>A</w:t>
      </w:r>
      <w:r w:rsidRPr="004D292A">
        <w:rPr>
          <w:b/>
          <w:bCs/>
          <w:sz w:val="20"/>
          <w:szCs w:val="20"/>
        </w:rPr>
        <w:t>rt. 1.667.</w:t>
      </w:r>
      <w:r w:rsidRPr="004D292A">
        <w:rPr>
          <w:sz w:val="20"/>
          <w:szCs w:val="20"/>
        </w:rPr>
        <w:t xml:space="preserve"> O regime de comunhão universal importa a comunicação de todos os bens, presentes e futuros dos cônjuges e suas dívidas passivas, com as exceções do artigo seguinte.</w:t>
      </w:r>
    </w:p>
  </w:footnote>
  <w:footnote w:id="5">
    <w:p w:rsidR="004D292A" w:rsidRPr="004D292A" w:rsidRDefault="004D292A" w:rsidP="003A4696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4D292A">
        <w:rPr>
          <w:sz w:val="20"/>
          <w:szCs w:val="20"/>
          <w:vertAlign w:val="superscript"/>
        </w:rPr>
        <w:footnoteRef/>
      </w:r>
      <w:r w:rsidRPr="004D292A">
        <w:rPr>
          <w:sz w:val="20"/>
          <w:szCs w:val="20"/>
        </w:rPr>
        <w:t>Se o bem foi indicado à penhora pelo credor, somente este detém legitimidade para figurar no pólo passivo dos embargos de terceiro, inexistindo, como regra, litisconsórcio passivo necessário com o devedor (STJ – Resp 282.674/SP, DJ 07.05.2001; RT 711:131).</w:t>
      </w:r>
    </w:p>
  </w:footnote>
  <w:footnote w:id="6">
    <w:p w:rsidR="004D292A" w:rsidRPr="004D292A" w:rsidRDefault="004D292A" w:rsidP="003A4696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4D292A">
        <w:rPr>
          <w:sz w:val="20"/>
          <w:szCs w:val="20"/>
          <w:vertAlign w:val="superscript"/>
        </w:rPr>
        <w:footnoteRef/>
      </w:r>
      <w:r w:rsidRPr="004D292A">
        <w:rPr>
          <w:sz w:val="20"/>
          <w:szCs w:val="20"/>
        </w:rPr>
        <w:t>A</w:t>
      </w:r>
      <w:r w:rsidRPr="004D292A">
        <w:rPr>
          <w:b/>
          <w:bCs/>
          <w:sz w:val="20"/>
          <w:szCs w:val="20"/>
        </w:rPr>
        <w:t>rt. 134.</w:t>
      </w:r>
      <w:r w:rsidRPr="004D292A">
        <w:rPr>
          <w:sz w:val="20"/>
          <w:szCs w:val="20"/>
        </w:rPr>
        <w:t xml:space="preserve"> Nos casos de impossibilidade de exigência do cumprimento da obrigação principal pelo contribuinte, respondem solidariamente com estes nos autos em que intervierem ou pelas omissões em que forem responsáveis: </w:t>
      </w:r>
      <w:r w:rsidRPr="004D292A">
        <w:rPr>
          <w:iCs/>
          <w:sz w:val="20"/>
          <w:szCs w:val="20"/>
        </w:rPr>
        <w:t>(...)</w:t>
      </w:r>
      <w:r w:rsidRPr="004D292A">
        <w:rPr>
          <w:b/>
          <w:sz w:val="20"/>
          <w:szCs w:val="20"/>
        </w:rPr>
        <w:t>VII –</w:t>
      </w:r>
      <w:r w:rsidRPr="004D292A">
        <w:rPr>
          <w:sz w:val="20"/>
          <w:szCs w:val="20"/>
        </w:rPr>
        <w:t xml:space="preserve"> os sócios, no caso de liquidação de sociedade de pessoas.</w:t>
      </w:r>
    </w:p>
    <w:p w:rsidR="004D292A" w:rsidRPr="004D292A" w:rsidRDefault="004D292A" w:rsidP="003A4696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4D292A">
        <w:rPr>
          <w:sz w:val="20"/>
          <w:szCs w:val="20"/>
        </w:rPr>
        <w:t>A</w:t>
      </w:r>
      <w:r w:rsidRPr="004D292A">
        <w:rPr>
          <w:b/>
          <w:bCs/>
          <w:sz w:val="20"/>
          <w:szCs w:val="20"/>
        </w:rPr>
        <w:t>rt. 135.</w:t>
      </w:r>
      <w:r w:rsidRPr="004D292A">
        <w:rPr>
          <w:sz w:val="20"/>
          <w:szCs w:val="20"/>
        </w:rPr>
        <w:t xml:space="preserve"> São pessoalmente responsáveis pelos créditos correspondentes a obrigações tributárias resultantes de atos praticados com excesso de poderes ou infração de lei, contrato social ou estatuto: </w:t>
      </w:r>
      <w:r w:rsidRPr="004D292A">
        <w:rPr>
          <w:b/>
          <w:sz w:val="20"/>
          <w:szCs w:val="20"/>
        </w:rPr>
        <w:t>I –</w:t>
      </w:r>
      <w:r w:rsidRPr="004D292A">
        <w:rPr>
          <w:sz w:val="20"/>
          <w:szCs w:val="20"/>
        </w:rPr>
        <w:t xml:space="preserve"> as pessoas referidas no artigo anterior; </w:t>
      </w:r>
      <w:r w:rsidRPr="004D292A">
        <w:rPr>
          <w:iCs/>
          <w:sz w:val="20"/>
          <w:szCs w:val="20"/>
        </w:rPr>
        <w:t>(...)</w:t>
      </w:r>
      <w:r w:rsidRPr="004D292A">
        <w:rPr>
          <w:b/>
          <w:sz w:val="20"/>
          <w:szCs w:val="20"/>
        </w:rPr>
        <w:t>III –</w:t>
      </w:r>
      <w:r w:rsidRPr="004D292A">
        <w:rPr>
          <w:sz w:val="20"/>
          <w:szCs w:val="20"/>
        </w:rPr>
        <w:t xml:space="preserve"> os diretores, gerentes ou representantes de pessoas jurídicas de direito privado.</w:t>
      </w:r>
    </w:p>
  </w:footnote>
  <w:footnote w:id="7">
    <w:p w:rsidR="004D292A" w:rsidRPr="004D292A" w:rsidRDefault="004D292A" w:rsidP="003A4696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4D292A">
        <w:rPr>
          <w:sz w:val="20"/>
          <w:szCs w:val="20"/>
          <w:vertAlign w:val="superscript"/>
        </w:rPr>
        <w:footnoteRef/>
      </w:r>
      <w:r w:rsidRPr="004D292A">
        <w:rPr>
          <w:sz w:val="20"/>
          <w:szCs w:val="20"/>
        </w:rPr>
        <w:t xml:space="preserve">Na constância da sociedade conjugal, há de se presumir, como regra, que as dívidas assumidas por qualquer dos cônjuges o são em benefício comum do casal, de modo que cabe ao cônjuge que pretende salvar a meação o ônus de provar o contrário. Persiste a mesma presunção quando a dívida decorrer de aval prestado pelo cônjuge à sociedade de que fizer parte como sócio. </w:t>
      </w:r>
      <w:r w:rsidRPr="004D292A">
        <w:rPr>
          <w:bCs/>
          <w:sz w:val="20"/>
          <w:szCs w:val="20"/>
        </w:rPr>
        <w:t>Todavia, em se tratando de obrigação fiscal de sociedade, se a execução do cônjuge resultar da sua responsabilidade como sócio, inverte-se a situação: presume-se que a família não foi beneficiada, cabendo ao credor, que pretender responsabilizar a meação do outro cônjuge, demonstrar o contrário</w:t>
      </w:r>
      <w:r w:rsidRPr="004D292A">
        <w:rPr>
          <w:sz w:val="20"/>
          <w:szCs w:val="20"/>
        </w:rPr>
        <w:t xml:space="preserve"> (Teori Albino Zavascki, Comentários ao CPC, Revista dos Tribunais, 2ª ed., vol. 8, pág. 257/258).</w:t>
      </w:r>
    </w:p>
  </w:footnote>
  <w:footnote w:id="8">
    <w:p w:rsidR="004D292A" w:rsidRPr="004D292A" w:rsidRDefault="004D292A" w:rsidP="003A4696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4D292A">
        <w:rPr>
          <w:sz w:val="20"/>
          <w:szCs w:val="20"/>
          <w:vertAlign w:val="superscript"/>
        </w:rPr>
        <w:footnoteRef/>
      </w:r>
      <w:r w:rsidRPr="004D292A">
        <w:rPr>
          <w:sz w:val="20"/>
          <w:szCs w:val="20"/>
        </w:rPr>
        <w:t xml:space="preserve">Resp 641.400/PB, DJ 01.02.2005: Consolidado o entendimento da Súmula 251/STJ, no sentido de que cumpre ao credor comprovar que foram revertidos para a entidade familiar os lucros auferidos, na constância da sociedade conjugal, pela empresa executada cuja propriedade é de um dos cônjuges. </w:t>
      </w:r>
    </w:p>
    <w:p w:rsidR="004D292A" w:rsidRPr="004D292A" w:rsidRDefault="004D292A" w:rsidP="003A4696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9">
    <w:p w:rsidR="00D71FC7" w:rsidRDefault="00D71FC7" w:rsidP="003A4696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582782">
        <w:rPr>
          <w:b/>
        </w:rPr>
        <w:t>Art. 180.</w:t>
      </w:r>
      <w:r w:rsidRPr="00D71FC7">
        <w:t xml:space="preserve">  O Ministério Público gozará de prazo em dobro para manifestar-se nos autos, que terá início a partir de sua intimação pessoal, nos termos do art. 183, § 1o.</w:t>
      </w:r>
    </w:p>
    <w:p w:rsidR="00D71FC7" w:rsidRDefault="00D71FC7" w:rsidP="003A4696">
      <w:pPr>
        <w:pStyle w:val="Textodenotaderodap"/>
        <w:ind w:right="-568"/>
        <w:jc w:val="both"/>
      </w:pPr>
      <w:r w:rsidRPr="00582782">
        <w:rPr>
          <w:b/>
        </w:rPr>
        <w:t>Art. 679.</w:t>
      </w:r>
      <w:r w:rsidRPr="00D71FC7">
        <w:t xml:space="preserve">  Os embargos poderão ser contestados no prazo de 15 (quinze) dias, findo o qual se seguirá o procedimento comum.</w:t>
      </w:r>
    </w:p>
  </w:footnote>
  <w:footnote w:id="10">
    <w:p w:rsidR="00582782" w:rsidRDefault="00582782" w:rsidP="003A4696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582782">
        <w:rPr>
          <w:b/>
        </w:rPr>
        <w:t>Art. 677.</w:t>
      </w:r>
      <w:r w:rsidRPr="00582782">
        <w:t xml:space="preserve">  Na petição inicial, o embargante fará a prova sumária de sua posse ou de seu domínio e da qualidade de terceiro, oferecendo documentos e rol de testemunhas.</w:t>
      </w:r>
      <w:r w:rsidRPr="00582782">
        <w:rPr>
          <w:b/>
        </w:rPr>
        <w:t>§ 1º.</w:t>
      </w:r>
      <w:r w:rsidRPr="00582782">
        <w:t xml:space="preserve"> É facultada a prova da posse em audiência preliminar designada pelo juiz.</w:t>
      </w:r>
    </w:p>
  </w:footnote>
  <w:footnote w:id="11">
    <w:p w:rsidR="00582782" w:rsidRDefault="00582782" w:rsidP="003A4696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582782">
        <w:rPr>
          <w:b/>
        </w:rPr>
        <w:t>Art. 676.</w:t>
      </w:r>
      <w:r w:rsidRPr="00582782">
        <w:t xml:space="preserve">  Os embargos serão distribuídos por dependência ao juízo que ordenou a constrição e autuados em apartado.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92A"/>
    <w:rsid w:val="000D3ACD"/>
    <w:rsid w:val="00260E5A"/>
    <w:rsid w:val="00280F04"/>
    <w:rsid w:val="002A0D05"/>
    <w:rsid w:val="00327A7A"/>
    <w:rsid w:val="003917C6"/>
    <w:rsid w:val="003A4696"/>
    <w:rsid w:val="003A510D"/>
    <w:rsid w:val="004D292A"/>
    <w:rsid w:val="00582782"/>
    <w:rsid w:val="00704619"/>
    <w:rsid w:val="00725B92"/>
    <w:rsid w:val="007C1E72"/>
    <w:rsid w:val="007D200E"/>
    <w:rsid w:val="00811E2C"/>
    <w:rsid w:val="00846E7C"/>
    <w:rsid w:val="00AA3806"/>
    <w:rsid w:val="00AB745E"/>
    <w:rsid w:val="00AE7751"/>
    <w:rsid w:val="00B74D5F"/>
    <w:rsid w:val="00B94D12"/>
    <w:rsid w:val="00C10B2A"/>
    <w:rsid w:val="00D71FC7"/>
    <w:rsid w:val="00D87345"/>
    <w:rsid w:val="00DD53F3"/>
    <w:rsid w:val="00EA101E"/>
    <w:rsid w:val="00EB2065"/>
    <w:rsid w:val="00F2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65"/>
    <w:pPr>
      <w:spacing w:after="0" w:line="240" w:lineRule="auto"/>
      <w:ind w:left="1021" w:right="-907"/>
      <w:jc w:val="both"/>
    </w:pPr>
    <w:rPr>
      <w:rFonts w:ascii="Arial" w:hAnsi="Arial"/>
      <w:spacing w:val="14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4D292A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D292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4D292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D292A"/>
    <w:pPr>
      <w:tabs>
        <w:tab w:val="center" w:pos="4252"/>
        <w:tab w:val="right" w:pos="8504"/>
      </w:tabs>
      <w:ind w:left="0" w:right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2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4D292A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4D292A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4D292A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rsid w:val="00D71FC7"/>
    <w:pPr>
      <w:ind w:left="0" w:right="0"/>
      <w:jc w:val="left"/>
    </w:pPr>
    <w:rPr>
      <w:rFonts w:ascii="Times New Roman" w:eastAsia="Times New Roman" w:hAnsi="Times New Roman" w:cs="Times New Roman"/>
      <w:spacing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D71F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D71F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65"/>
    <w:pPr>
      <w:spacing w:after="0" w:line="240" w:lineRule="auto"/>
      <w:ind w:left="1021" w:right="-907"/>
      <w:jc w:val="both"/>
    </w:pPr>
    <w:rPr>
      <w:rFonts w:ascii="Arial" w:hAnsi="Arial"/>
      <w:spacing w:val="14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4D292A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D292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4D292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D292A"/>
    <w:pPr>
      <w:tabs>
        <w:tab w:val="center" w:pos="4252"/>
        <w:tab w:val="right" w:pos="8504"/>
      </w:tabs>
      <w:ind w:left="0" w:right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2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4D292A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4D292A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4D292A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rsid w:val="00D71FC7"/>
    <w:pPr>
      <w:ind w:left="0" w:right="0"/>
      <w:jc w:val="left"/>
    </w:pPr>
    <w:rPr>
      <w:rFonts w:ascii="Times New Roman" w:eastAsia="Times New Roman" w:hAnsi="Times New Roman" w:cs="Times New Roman"/>
      <w:spacing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D71F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D71F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E977-1695-4EE0-A9A9-67A66F03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2020-06-26T18:46:00Z</dcterms:created>
  <dcterms:modified xsi:type="dcterms:W3CDTF">2020-08-24T19:31:00Z</dcterms:modified>
</cp:coreProperties>
</file>